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542E3" w14:textId="2E3B347C" w:rsidR="00D82798" w:rsidRDefault="00D82798" w:rsidP="00D82798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WG1#88</w:t>
      </w:r>
      <w:r w:rsidR="006B564D">
        <w:rPr>
          <w:bCs/>
          <w:noProof w:val="0"/>
          <w:sz w:val="24"/>
          <w:lang w:val="en-GB"/>
        </w:rPr>
        <w:t>bis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</w:t>
      </w:r>
      <w:r>
        <w:rPr>
          <w:bCs/>
          <w:noProof w:val="0"/>
          <w:sz w:val="24"/>
          <w:lang w:val="en-GB"/>
        </w:rPr>
        <w:tab/>
      </w:r>
      <w:r w:rsidR="0013678C" w:rsidRPr="0013678C">
        <w:rPr>
          <w:bCs/>
          <w:noProof w:val="0"/>
          <w:sz w:val="24"/>
          <w:lang w:val="en-GB"/>
        </w:rPr>
        <w:t>R1-170</w:t>
      </w:r>
      <w:r w:rsidR="00703571">
        <w:rPr>
          <w:bCs/>
          <w:noProof w:val="0"/>
          <w:sz w:val="24"/>
          <w:lang w:val="en-GB"/>
        </w:rPr>
        <w:t>5234</w:t>
      </w:r>
    </w:p>
    <w:p w14:paraId="6AD3DA1A" w14:textId="3059512A" w:rsidR="00D82798" w:rsidRDefault="00D95B31" w:rsidP="00521425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Spokane, U.S.A., April 3</w:t>
      </w:r>
      <w:r w:rsidRPr="00521425">
        <w:rPr>
          <w:noProof w:val="0"/>
          <w:sz w:val="24"/>
          <w:vertAlign w:val="superscript"/>
          <w:lang w:val="en-GB"/>
        </w:rPr>
        <w:t>rd</w:t>
      </w:r>
      <w:r>
        <w:rPr>
          <w:noProof w:val="0"/>
          <w:sz w:val="24"/>
          <w:lang w:val="en-GB"/>
        </w:rPr>
        <w:t xml:space="preserve"> - 7</w:t>
      </w:r>
      <w:r w:rsidRPr="00521425">
        <w:rPr>
          <w:noProof w:val="0"/>
          <w:sz w:val="24"/>
          <w:vertAlign w:val="superscript"/>
          <w:lang w:val="en-GB"/>
        </w:rPr>
        <w:t>th</w:t>
      </w:r>
      <w:r>
        <w:rPr>
          <w:bCs/>
          <w:noProof w:val="0"/>
          <w:sz w:val="24"/>
          <w:lang w:val="en-GB"/>
        </w:rPr>
        <w:t xml:space="preserve">, </w:t>
      </w:r>
      <w:r w:rsidR="00D82798">
        <w:rPr>
          <w:bCs/>
          <w:noProof w:val="0"/>
          <w:sz w:val="24"/>
          <w:lang w:val="en-GB"/>
        </w:rPr>
        <w:t>2017</w:t>
      </w:r>
    </w:p>
    <w:p w14:paraId="30E02940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253E100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11784B">
        <w:rPr>
          <w:rFonts w:cs="Arial"/>
          <w:b/>
          <w:bCs/>
          <w:sz w:val="24"/>
        </w:rPr>
        <w:t>8.1.3.2</w:t>
      </w:r>
      <w:r w:rsidR="003735C6">
        <w:rPr>
          <w:rFonts w:cs="Arial"/>
          <w:b/>
          <w:bCs/>
          <w:sz w:val="24"/>
        </w:rPr>
        <w:t>.2</w:t>
      </w:r>
    </w:p>
    <w:p w14:paraId="30E02942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0E02943" w14:textId="4EF0D2D8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A5DF4">
        <w:rPr>
          <w:rFonts w:ascii="Arial" w:hAnsi="Arial" w:cs="Arial"/>
          <w:b/>
          <w:bCs/>
          <w:sz w:val="24"/>
        </w:rPr>
        <w:t>On the</w:t>
      </w:r>
      <w:r w:rsidR="0037004E">
        <w:rPr>
          <w:rFonts w:ascii="Arial" w:hAnsi="Arial" w:cs="Arial"/>
          <w:b/>
          <w:bCs/>
          <w:sz w:val="24"/>
        </w:rPr>
        <w:t xml:space="preserve"> design of</w:t>
      </w:r>
      <w:r w:rsidR="00AA5DF4">
        <w:rPr>
          <w:rFonts w:ascii="Arial" w:hAnsi="Arial" w:cs="Arial"/>
          <w:b/>
          <w:bCs/>
          <w:sz w:val="24"/>
        </w:rPr>
        <w:t xml:space="preserve"> </w:t>
      </w:r>
      <w:r w:rsidR="0037004E">
        <w:rPr>
          <w:rFonts w:ascii="Arial" w:hAnsi="Arial" w:cs="Arial"/>
          <w:b/>
          <w:bCs/>
          <w:sz w:val="24"/>
        </w:rPr>
        <w:t>l</w:t>
      </w:r>
      <w:r w:rsidR="00AA5DF4">
        <w:rPr>
          <w:rFonts w:ascii="Arial" w:hAnsi="Arial" w:cs="Arial"/>
          <w:b/>
          <w:bCs/>
          <w:sz w:val="24"/>
        </w:rPr>
        <w:t xml:space="preserve">ong PUCCH </w:t>
      </w:r>
      <w:r w:rsidR="000B0C45">
        <w:rPr>
          <w:rFonts w:ascii="Arial" w:hAnsi="Arial" w:cs="Arial"/>
          <w:b/>
          <w:bCs/>
          <w:sz w:val="24"/>
        </w:rPr>
        <w:t>for NR</w:t>
      </w:r>
    </w:p>
    <w:p w14:paraId="30E02944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30E02945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30E02946" w14:textId="555DB70A" w:rsidR="00341E60" w:rsidRPr="00521425" w:rsidRDefault="007A6CFD" w:rsidP="00986146">
      <w:pPr>
        <w:pStyle w:val="NormalWeb"/>
        <w:spacing w:before="0" w:beforeAutospacing="0" w:after="120" w:afterAutospacing="0"/>
        <w:jc w:val="both"/>
        <w:rPr>
          <w:bCs/>
          <w:sz w:val="20"/>
          <w:szCs w:val="20"/>
        </w:rPr>
      </w:pPr>
      <w:r w:rsidRPr="00521425">
        <w:rPr>
          <w:sz w:val="20"/>
          <w:szCs w:val="22"/>
        </w:rPr>
        <w:t>In RAN plenary #75, WID on new radio (NR) has been approved [1]. T</w:t>
      </w:r>
      <w:r w:rsidRPr="00521425">
        <w:rPr>
          <w:bCs/>
          <w:sz w:val="20"/>
          <w:szCs w:val="22"/>
        </w:rPr>
        <w:t xml:space="preserve">he NR work item targets to specify the NR functionalities for both enhanced mobile broadband (eMBB) as well as for </w:t>
      </w:r>
      <w:r w:rsidRPr="00521425">
        <w:rPr>
          <w:bCs/>
          <w:sz w:val="20"/>
          <w:szCs w:val="22"/>
          <w:lang w:eastAsia="ja-JP"/>
        </w:rPr>
        <w:t>ultra-reliable</w:t>
      </w:r>
      <w:r w:rsidRPr="00521425">
        <w:rPr>
          <w:bCs/>
          <w:sz w:val="20"/>
          <w:szCs w:val="22"/>
        </w:rPr>
        <w:t xml:space="preserve"> low-latency-communication</w:t>
      </w:r>
      <w:r w:rsidRPr="00521425">
        <w:rPr>
          <w:bCs/>
          <w:sz w:val="20"/>
          <w:szCs w:val="22"/>
          <w:lang w:eastAsia="ja-JP"/>
        </w:rPr>
        <w:t xml:space="preserve"> (</w:t>
      </w:r>
      <w:r w:rsidRPr="00521425">
        <w:rPr>
          <w:sz w:val="20"/>
          <w:szCs w:val="22"/>
        </w:rPr>
        <w:t>URLLC)</w:t>
      </w:r>
      <w:r w:rsidRPr="00521425">
        <w:rPr>
          <w:szCs w:val="22"/>
        </w:rPr>
        <w:t xml:space="preserve"> </w:t>
      </w:r>
      <w:r w:rsidRPr="006A1BEB">
        <w:rPr>
          <w:sz w:val="20"/>
          <w:szCs w:val="20"/>
        </w:rPr>
        <w:t>as defined in TR38.913 [2]</w:t>
      </w:r>
      <w:r w:rsidRPr="00521425">
        <w:rPr>
          <w:sz w:val="20"/>
          <w:szCs w:val="20"/>
        </w:rPr>
        <w:t>.</w:t>
      </w:r>
      <w:r w:rsidR="00394301" w:rsidRPr="006A1BEB">
        <w:rPr>
          <w:sz w:val="20"/>
          <w:szCs w:val="20"/>
        </w:rPr>
        <w:t xml:space="preserve"> </w:t>
      </w:r>
      <w:r w:rsidR="00394301" w:rsidRPr="006A1BEB">
        <w:rPr>
          <w:bCs/>
          <w:sz w:val="20"/>
          <w:szCs w:val="20"/>
        </w:rPr>
        <w:t>Frequency ranges up to 52.6 GHz are considered under the NR work item.</w:t>
      </w:r>
      <w:r w:rsidRPr="00521425">
        <w:rPr>
          <w:bCs/>
          <w:sz w:val="20"/>
          <w:szCs w:val="20"/>
          <w:lang w:eastAsia="ja-JP"/>
        </w:rPr>
        <w:t xml:space="preserve"> </w:t>
      </w:r>
    </w:p>
    <w:p w14:paraId="30E0296D" w14:textId="4914A070" w:rsidR="0078539D" w:rsidRDefault="00BE4EC9" w:rsidP="00986146">
      <w:pPr>
        <w:spacing w:after="120"/>
        <w:jc w:val="both"/>
      </w:pPr>
      <w:r>
        <w:rPr>
          <w:bCs/>
        </w:rPr>
        <w:t xml:space="preserve">This contribution </w:t>
      </w:r>
      <w:r w:rsidR="006B564D">
        <w:rPr>
          <w:bCs/>
        </w:rPr>
        <w:t>focuses on the</w:t>
      </w:r>
      <w:r>
        <w:rPr>
          <w:bCs/>
        </w:rPr>
        <w:t xml:space="preserve"> </w:t>
      </w:r>
      <w:r w:rsidR="0008559A">
        <w:rPr>
          <w:bCs/>
        </w:rPr>
        <w:t xml:space="preserve">design of </w:t>
      </w:r>
      <w:r w:rsidR="00A03AB1">
        <w:rPr>
          <w:bCs/>
        </w:rPr>
        <w:t xml:space="preserve">long </w:t>
      </w:r>
      <w:r w:rsidR="004B4297">
        <w:rPr>
          <w:bCs/>
        </w:rPr>
        <w:t xml:space="preserve">PUCCH </w:t>
      </w:r>
      <w:r w:rsidR="00A051D9">
        <w:rPr>
          <w:bCs/>
        </w:rPr>
        <w:t>in</w:t>
      </w:r>
      <w:r w:rsidR="000B0C45">
        <w:rPr>
          <w:bCs/>
        </w:rPr>
        <w:t xml:space="preserve"> NR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6B564D">
        <w:rPr>
          <w:rFonts w:eastAsia="Malgun Gothic"/>
        </w:rPr>
        <w:t>The</w:t>
      </w:r>
      <w:r w:rsidR="00CC300C">
        <w:rPr>
          <w:rFonts w:eastAsia="Malgun Gothic"/>
        </w:rPr>
        <w:t xml:space="preserve"> agreements</w:t>
      </w:r>
      <w:r w:rsidR="000B0C45">
        <w:rPr>
          <w:rFonts w:eastAsia="Malgun Gothic"/>
        </w:rPr>
        <w:t xml:space="preserve"> related to</w:t>
      </w:r>
      <w:r w:rsidR="00A03AB1">
        <w:rPr>
          <w:rFonts w:eastAsia="Malgun Gothic"/>
        </w:rPr>
        <w:t xml:space="preserve"> long</w:t>
      </w:r>
      <w:r w:rsidR="000B0C45">
        <w:rPr>
          <w:rFonts w:eastAsia="Malgun Gothic"/>
        </w:rPr>
        <w:t xml:space="preserve"> </w:t>
      </w:r>
      <w:r w:rsidR="003735C6">
        <w:rPr>
          <w:rFonts w:eastAsia="Malgun Gothic"/>
        </w:rPr>
        <w:t xml:space="preserve">PUCCH </w:t>
      </w:r>
      <w:r w:rsidR="00CC300C">
        <w:rPr>
          <w:bCs/>
        </w:rPr>
        <w:t>made</w:t>
      </w:r>
      <w:r w:rsidR="006B564D">
        <w:rPr>
          <w:bCs/>
        </w:rPr>
        <w:t xml:space="preserve"> during NR SI are captured in [3</w:t>
      </w:r>
      <w:r w:rsidR="001E54F9">
        <w:rPr>
          <w:bCs/>
        </w:rPr>
        <w:t>]</w:t>
      </w:r>
      <w:r w:rsidR="006B564D">
        <w:rPr>
          <w:rFonts w:eastAsia="Malgun Gothic"/>
        </w:rPr>
        <w:t>.</w:t>
      </w:r>
      <w:r w:rsidR="006B564D">
        <w:rPr>
          <w:rFonts w:eastAsia="MS Mincho"/>
          <w:b/>
          <w:sz w:val="18"/>
          <w:lang w:eastAsia="ja-JP"/>
        </w:rPr>
        <w:t xml:space="preserve"> </w:t>
      </w:r>
      <w:r w:rsidR="00BA4A54">
        <w:rPr>
          <w:bCs/>
        </w:rPr>
        <w:t>We provide details related to</w:t>
      </w:r>
      <w:r w:rsidR="00711C66">
        <w:rPr>
          <w:bCs/>
        </w:rPr>
        <w:t xml:space="preserve"> </w:t>
      </w:r>
      <w:r w:rsidR="001360F3">
        <w:rPr>
          <w:bCs/>
        </w:rPr>
        <w:t xml:space="preserve">long PUCCH formats </w:t>
      </w:r>
      <w:r w:rsidR="009763ED">
        <w:rPr>
          <w:bCs/>
        </w:rPr>
        <w:t xml:space="preserve">in </w:t>
      </w:r>
      <w:r w:rsidR="00BA4A54">
        <w:rPr>
          <w:rFonts w:eastAsia="MS Mincho"/>
          <w:lang w:val="en-US" w:eastAsia="ja-JP"/>
        </w:rPr>
        <w:t>a companion contribution [</w:t>
      </w:r>
      <w:r w:rsidR="006B564D">
        <w:rPr>
          <w:rFonts w:eastAsia="MS Mincho"/>
          <w:lang w:val="en-US" w:eastAsia="ja-JP"/>
        </w:rPr>
        <w:t>4</w:t>
      </w:r>
      <w:r w:rsidR="005C22F9">
        <w:rPr>
          <w:rFonts w:eastAsia="MS Mincho"/>
          <w:lang w:val="en-US" w:eastAsia="ja-JP"/>
        </w:rPr>
        <w:t>].</w:t>
      </w:r>
    </w:p>
    <w:p w14:paraId="30E0296E" w14:textId="375BC225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BD3846">
        <w:t>Support of CP-OFDM</w:t>
      </w:r>
      <w:r w:rsidR="001069F2">
        <w:t xml:space="preserve"> for </w:t>
      </w:r>
      <w:r w:rsidR="0037004E">
        <w:t>l</w:t>
      </w:r>
      <w:r w:rsidR="001069F2">
        <w:t>ong PUCCH</w:t>
      </w:r>
    </w:p>
    <w:p w14:paraId="0014F0E2" w14:textId="1C0D013B" w:rsidR="00065E94" w:rsidRDefault="00A03AB1" w:rsidP="0052142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According to</w:t>
      </w:r>
      <w:r w:rsidR="00BD3846">
        <w:rPr>
          <w:rFonts w:eastAsia="MS Mincho"/>
          <w:lang w:val="en-US" w:eastAsia="ja-JP"/>
        </w:rPr>
        <w:t xml:space="preserve"> the NR SI</w:t>
      </w:r>
      <w:r>
        <w:rPr>
          <w:rFonts w:eastAsia="MS Mincho"/>
          <w:lang w:val="en-US" w:eastAsia="ja-JP"/>
        </w:rPr>
        <w:t xml:space="preserve"> agreements, at least</w:t>
      </w:r>
      <w:r w:rsidR="00BD3846">
        <w:rPr>
          <w:rFonts w:eastAsia="MS Mincho"/>
          <w:lang w:val="en-US" w:eastAsia="ja-JP"/>
        </w:rPr>
        <w:t xml:space="preserve"> DFT-S-OFDM waveform </w:t>
      </w:r>
      <w:r w:rsidR="00065E94">
        <w:rPr>
          <w:rFonts w:eastAsia="MS Mincho"/>
          <w:lang w:val="en-US" w:eastAsia="ja-JP"/>
        </w:rPr>
        <w:t>with TDM between RS and UCI is</w:t>
      </w:r>
      <w:r>
        <w:rPr>
          <w:rFonts w:eastAsia="MS Mincho"/>
          <w:lang w:val="en-US" w:eastAsia="ja-JP"/>
        </w:rPr>
        <w:t xml:space="preserve"> supported for the long PUCCH.</w:t>
      </w:r>
      <w:r w:rsidR="001F0C29">
        <w:rPr>
          <w:rFonts w:eastAsia="MS Mincho"/>
          <w:lang w:val="en-US" w:eastAsia="ja-JP"/>
        </w:rPr>
        <w:t xml:space="preserve"> </w:t>
      </w:r>
      <w:r w:rsidR="00536698">
        <w:rPr>
          <w:rFonts w:eastAsia="MS Mincho"/>
          <w:lang w:val="en-US" w:eastAsia="ja-JP"/>
        </w:rPr>
        <w:t>It remains open whether CP-OFDM waveform is also supported for long PUCCH. This is addressed in this section.</w:t>
      </w:r>
    </w:p>
    <w:p w14:paraId="5C864CA1" w14:textId="7542A562" w:rsidR="0055519C" w:rsidRDefault="00536698" w:rsidP="0052142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</w:t>
      </w:r>
      <w:r w:rsidR="00D82BF2">
        <w:rPr>
          <w:rFonts w:eastAsia="MS Mincho"/>
          <w:lang w:val="en-US" w:eastAsia="ja-JP"/>
        </w:rPr>
        <w:t xml:space="preserve">here are </w:t>
      </w:r>
      <w:r>
        <w:rPr>
          <w:rFonts w:eastAsia="MS Mincho"/>
          <w:lang w:val="en-US" w:eastAsia="ja-JP"/>
        </w:rPr>
        <w:t xml:space="preserve">a </w:t>
      </w:r>
      <w:r w:rsidR="00D82BF2">
        <w:rPr>
          <w:rFonts w:eastAsia="MS Mincho"/>
          <w:lang w:val="en-US" w:eastAsia="ja-JP"/>
        </w:rPr>
        <w:t xml:space="preserve">lot common </w:t>
      </w:r>
      <w:r w:rsidR="0055519C">
        <w:rPr>
          <w:rFonts w:eastAsia="MS Mincho"/>
          <w:lang w:val="en-US" w:eastAsia="ja-JP"/>
        </w:rPr>
        <w:t>between LTE PUCCH and NR long PUCCH</w:t>
      </w:r>
      <w:r>
        <w:rPr>
          <w:rFonts w:eastAsia="MS Mincho"/>
          <w:lang w:val="en-US" w:eastAsia="ja-JP"/>
        </w:rPr>
        <w:t>, e.g., DFT-S-OFDM waveform, TDM between RS and UCI, frequency hopping as a diversity mechanism, although also differences exist</w:t>
      </w:r>
      <w:r w:rsidR="00703571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e.g.</w:t>
      </w:r>
      <w:r w:rsidR="00703571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in the flexibility o</w:t>
      </w:r>
      <w:r w:rsidR="00703571">
        <w:rPr>
          <w:rFonts w:eastAsia="MS Mincho"/>
          <w:lang w:val="en-US" w:eastAsia="ja-JP"/>
        </w:rPr>
        <w:t>f PUCCH</w:t>
      </w:r>
      <w:r>
        <w:rPr>
          <w:rFonts w:eastAsia="MS Mincho"/>
          <w:lang w:val="en-US" w:eastAsia="ja-JP"/>
        </w:rPr>
        <w:t xml:space="preserve"> duration and numerology</w:t>
      </w:r>
      <w:r w:rsidR="0055519C">
        <w:rPr>
          <w:rFonts w:eastAsia="MS Mincho"/>
          <w:lang w:val="en-US" w:eastAsia="ja-JP"/>
        </w:rPr>
        <w:t>.</w:t>
      </w:r>
      <w:r w:rsidR="00D82BF2">
        <w:rPr>
          <w:rFonts w:eastAsia="MS Mincho"/>
          <w:lang w:val="en-US" w:eastAsia="ja-JP"/>
        </w:rPr>
        <w:t xml:space="preserve"> Hence, it makes sense to reuse the existing LTE PUCCH design as much as possible for NR long PUCCH.</w:t>
      </w:r>
      <w:r w:rsidR="0055519C">
        <w:rPr>
          <w:rFonts w:eastAsia="MS Mincho"/>
          <w:lang w:val="en-US" w:eastAsia="ja-JP"/>
        </w:rPr>
        <w:t xml:space="preserve"> </w:t>
      </w:r>
    </w:p>
    <w:p w14:paraId="71F5AC6F" w14:textId="4811A204" w:rsidR="007015C6" w:rsidRDefault="00D95DCC" w:rsidP="00521425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As discussed in [4],</w:t>
      </w:r>
      <w:r w:rsidR="007015C6">
        <w:rPr>
          <w:rFonts w:eastAsia="MS Mincho"/>
          <w:lang w:val="en-US" w:eastAsia="ja-JP"/>
        </w:rPr>
        <w:t xml:space="preserve"> a long PUCCH format is needed to carry large UCI payloads with reasonable coverage. Such long PUCCH format can be based on LTE PUCCH Format 4, which is essentially a PUSCH structure applied as a PUCCH format. For this format, it makes sense to apply same waveform for both PUSCH and long PUCCH, simplifying processing at both ends of the link.</w:t>
      </w:r>
    </w:p>
    <w:p w14:paraId="57F72A13" w14:textId="3A45C694" w:rsidR="004D2629" w:rsidRPr="00521425" w:rsidRDefault="004D2629" w:rsidP="00521425">
      <w:pPr>
        <w:rPr>
          <w:i/>
        </w:rPr>
      </w:pPr>
      <w:r>
        <w:rPr>
          <w:b/>
          <w:i/>
        </w:rPr>
        <w:t xml:space="preserve">Observation 1: </w:t>
      </w:r>
      <w:r w:rsidRPr="00521425">
        <w:rPr>
          <w:i/>
        </w:rPr>
        <w:t>Long PUCCH format for large UCI payload</w:t>
      </w:r>
      <w:r>
        <w:rPr>
          <w:i/>
        </w:rPr>
        <w:t>s</w:t>
      </w:r>
      <w:r w:rsidRPr="00521425">
        <w:rPr>
          <w:i/>
        </w:rPr>
        <w:t xml:space="preserve"> can have essentially </w:t>
      </w:r>
      <w:r w:rsidR="00703571">
        <w:rPr>
          <w:i/>
        </w:rPr>
        <w:t>similar</w:t>
      </w:r>
      <w:r w:rsidRPr="00521425">
        <w:rPr>
          <w:i/>
        </w:rPr>
        <w:t xml:space="preserve"> structure as PUSCH, and i</w:t>
      </w:r>
      <w:r w:rsidRPr="004D2629">
        <w:rPr>
          <w:i/>
        </w:rPr>
        <w:t>t is attractive to apply same waveform for both transmissions.</w:t>
      </w:r>
    </w:p>
    <w:p w14:paraId="72B7E9BF" w14:textId="3AD26F58" w:rsidR="00AA247C" w:rsidRDefault="007015C6" w:rsidP="00521425">
      <w:pPr>
        <w:spacing w:after="120"/>
        <w:jc w:val="both"/>
        <w:rPr>
          <w:i/>
        </w:rPr>
      </w:pPr>
      <w:r>
        <w:rPr>
          <w:rFonts w:eastAsia="MS Mincho"/>
          <w:lang w:val="en-US" w:eastAsia="ja-JP"/>
        </w:rPr>
        <w:t>A second</w:t>
      </w:r>
      <w:r w:rsidR="00D95DCC">
        <w:rPr>
          <w:rFonts w:eastAsia="MS Mincho"/>
          <w:lang w:val="en-US" w:eastAsia="ja-JP"/>
        </w:rPr>
        <w:t xml:space="preserve"> long PUCCH format can be based on modulation of CAZAC sequence. This is a reasonable format for small UCI payloads and to improve PUCCH coverage. For this kind of PUCCH </w:t>
      </w:r>
      <w:r w:rsidR="00986146">
        <w:rPr>
          <w:rFonts w:eastAsia="MS Mincho"/>
          <w:lang w:val="en-US" w:eastAsia="ja-JP"/>
        </w:rPr>
        <w:t>format</w:t>
      </w:r>
      <w:r w:rsidR="00D95DCC">
        <w:rPr>
          <w:rFonts w:eastAsia="MS Mincho"/>
          <w:lang w:val="en-US" w:eastAsia="ja-JP"/>
        </w:rPr>
        <w:t xml:space="preserve"> there is no real difference between DFT-S-OFDM and CP-OFDM waveforms. </w:t>
      </w:r>
      <w:r w:rsidR="00934D97">
        <w:rPr>
          <w:rFonts w:eastAsia="MS Mincho"/>
          <w:lang w:val="en-US" w:eastAsia="ja-JP"/>
        </w:rPr>
        <w:t xml:space="preserve"> </w:t>
      </w:r>
      <w:r w:rsidR="00D95DCC">
        <w:rPr>
          <w:rFonts w:eastAsia="MS Mincho"/>
          <w:lang w:val="en-US" w:eastAsia="ja-JP"/>
        </w:rPr>
        <w:t xml:space="preserve"> </w:t>
      </w:r>
    </w:p>
    <w:p w14:paraId="51CDA0AC" w14:textId="07DD91C4" w:rsidR="009F514E" w:rsidRPr="00141E40" w:rsidRDefault="00934D97" w:rsidP="00521425">
      <w:pPr>
        <w:jc w:val="both"/>
        <w:rPr>
          <w:lang w:val="en-US"/>
        </w:rPr>
      </w:pPr>
      <w:r>
        <w:t>Another</w:t>
      </w:r>
      <w:r w:rsidR="009F514E">
        <w:t xml:space="preserve"> open issue</w:t>
      </w:r>
      <w:r>
        <w:t xml:space="preserve"> </w:t>
      </w:r>
      <w:r w:rsidR="009F514E">
        <w:t>relates to CP-OFDM –specific optimization</w:t>
      </w:r>
      <w:r>
        <w:t xml:space="preserve"> of long PUCCH</w:t>
      </w:r>
      <w:r w:rsidR="009F514E">
        <w:t>: Is there a need for complementary design for long PUCCH based on CP-OFDM</w:t>
      </w:r>
      <w:r w:rsidR="006C3AB0">
        <w:t xml:space="preserve"> waveform</w:t>
      </w:r>
      <w:r w:rsidR="009F514E">
        <w:t>? This could include e.g. FDM between UCI and DMRS, as well as opportunity for adjusting DMRS power w.r.t. PUCCH data.</w:t>
      </w:r>
      <w:r w:rsidR="008B2436">
        <w:t xml:space="preserve"> Such optimizations would diverge the processing for DFT-S-OFDM and CP-OFDM PUCC</w:t>
      </w:r>
      <w:r w:rsidR="003C6877">
        <w:t>H</w:t>
      </w:r>
      <w:r w:rsidR="008B2436">
        <w:t xml:space="preserve"> formats and add to system complexity.</w:t>
      </w:r>
      <w:r w:rsidR="009F514E">
        <w:t xml:space="preserve"> </w:t>
      </w:r>
      <w:r w:rsidR="00AA247C">
        <w:t xml:space="preserve">Based on the available simulation results, it </w:t>
      </w:r>
      <w:r w:rsidR="009F514E">
        <w:t>seems that CP-OFDM –specific optimization for long PUCCH</w:t>
      </w:r>
      <w:r w:rsidR="008B2436">
        <w:t xml:space="preserve"> </w:t>
      </w:r>
      <w:r w:rsidR="009F514E">
        <w:t xml:space="preserve">does not provide enough </w:t>
      </w:r>
      <w:r w:rsidR="00EC2DFB">
        <w:t>justification</w:t>
      </w:r>
      <w:r w:rsidR="009F514E">
        <w:t xml:space="preserve"> </w:t>
      </w:r>
      <w:r w:rsidR="000C5CBA">
        <w:t>considering</w:t>
      </w:r>
      <w:r w:rsidR="009F514E">
        <w:t xml:space="preserve"> </w:t>
      </w:r>
      <w:r w:rsidR="00781589">
        <w:t>added</w:t>
      </w:r>
      <w:r w:rsidR="009F514E">
        <w:t xml:space="preserve"> system complexity.</w:t>
      </w:r>
      <w:r w:rsidR="003C6877">
        <w:t xml:space="preserve"> It is more desirable to keep the PUCCH format design for both CP-OFDM and DFT-S-OFDM waveforms as similar as possible. </w:t>
      </w:r>
      <w:r w:rsidR="009F514E">
        <w:t xml:space="preserve"> </w:t>
      </w:r>
    </w:p>
    <w:p w14:paraId="411864C1" w14:textId="4C624E28" w:rsidR="003C6877" w:rsidRDefault="003C6877" w:rsidP="00521425">
      <w:pPr>
        <w:rPr>
          <w:b/>
          <w:i/>
        </w:rPr>
      </w:pPr>
      <w:r>
        <w:rPr>
          <w:b/>
          <w:i/>
        </w:rPr>
        <w:t>Proposal 1:</w:t>
      </w:r>
      <w:r>
        <w:rPr>
          <w:i/>
        </w:rPr>
        <w:t xml:space="preserve"> CP-OFDM waveform is supported for long PUCCH.</w:t>
      </w:r>
    </w:p>
    <w:p w14:paraId="39A61099" w14:textId="5A2DB1AA" w:rsidR="00781589" w:rsidRDefault="00781589" w:rsidP="00521425">
      <w:pPr>
        <w:rPr>
          <w:i/>
        </w:rPr>
      </w:pPr>
      <w:r>
        <w:rPr>
          <w:b/>
          <w:i/>
        </w:rPr>
        <w:t xml:space="preserve">Proposal </w:t>
      </w:r>
      <w:r w:rsidR="00D82BF2">
        <w:rPr>
          <w:b/>
          <w:i/>
        </w:rPr>
        <w:t>2</w:t>
      </w:r>
      <w:r w:rsidR="003C6877">
        <w:rPr>
          <w:b/>
          <w:i/>
        </w:rPr>
        <w:t>:</w:t>
      </w:r>
      <w:r>
        <w:t xml:space="preserve"> </w:t>
      </w:r>
      <w:r w:rsidR="00AF7771">
        <w:rPr>
          <w:i/>
        </w:rPr>
        <w:t>Long PUCCH applies common desig</w:t>
      </w:r>
      <w:r w:rsidR="001F0C29">
        <w:rPr>
          <w:i/>
        </w:rPr>
        <w:t>n</w:t>
      </w:r>
      <w:r w:rsidR="00AF7771">
        <w:rPr>
          <w:i/>
        </w:rPr>
        <w:t xml:space="preserve"> for both DFT-S-OFDM and CP-OFDM wavefor</w:t>
      </w:r>
      <w:r w:rsidR="001F0C29">
        <w:rPr>
          <w:i/>
        </w:rPr>
        <w:t>m</w:t>
      </w:r>
      <w:r w:rsidR="00AF7771">
        <w:rPr>
          <w:i/>
        </w:rPr>
        <w:t>s</w:t>
      </w:r>
      <w:r w:rsidR="006C3AB0">
        <w:rPr>
          <w:i/>
        </w:rPr>
        <w:t>.</w:t>
      </w:r>
      <w:r>
        <w:rPr>
          <w:i/>
        </w:rPr>
        <w:t xml:space="preserve"> </w:t>
      </w:r>
    </w:p>
    <w:p w14:paraId="7A58DD63" w14:textId="2605C012" w:rsidR="00781589" w:rsidRDefault="00781589" w:rsidP="00521425">
      <w:pPr>
        <w:rPr>
          <w:i/>
        </w:rPr>
      </w:pPr>
      <w:r>
        <w:rPr>
          <w:b/>
          <w:i/>
        </w:rPr>
        <w:t xml:space="preserve">Proposal </w:t>
      </w:r>
      <w:r w:rsidR="00D82BF2">
        <w:rPr>
          <w:b/>
          <w:i/>
        </w:rPr>
        <w:t>3</w:t>
      </w:r>
      <w:r>
        <w:rPr>
          <w:b/>
          <w:i/>
        </w:rPr>
        <w:t xml:space="preserve">: </w:t>
      </w:r>
      <w:r>
        <w:rPr>
          <w:i/>
        </w:rPr>
        <w:t xml:space="preserve">Waveform used for long PUCCH </w:t>
      </w:r>
      <w:r w:rsidR="000C5CBA">
        <w:rPr>
          <w:i/>
        </w:rPr>
        <w:t>is the same as</w:t>
      </w:r>
      <w:r>
        <w:rPr>
          <w:i/>
        </w:rPr>
        <w:t xml:space="preserve"> the waveform configured for PUSCH</w:t>
      </w:r>
      <w:r w:rsidR="006C3AB0">
        <w:rPr>
          <w:i/>
        </w:rPr>
        <w:t>.</w:t>
      </w:r>
    </w:p>
    <w:p w14:paraId="1668024C" w14:textId="7B45C36D" w:rsidR="00D82BF2" w:rsidRDefault="00D82BF2" w:rsidP="00D82BF2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1069F2">
        <w:rPr>
          <w:color w:val="000000"/>
        </w:rPr>
        <w:t xml:space="preserve">Long PUCCH </w:t>
      </w:r>
      <w:r w:rsidR="00BD3846">
        <w:rPr>
          <w:color w:val="000000"/>
        </w:rPr>
        <w:t>frequency hopping</w:t>
      </w:r>
      <w:r w:rsidR="00BD3846">
        <w:t xml:space="preserve"> </w:t>
      </w:r>
    </w:p>
    <w:p w14:paraId="3E9C8FB4" w14:textId="3E6727EE" w:rsidR="009E33D7" w:rsidRDefault="00AF7771" w:rsidP="00521425">
      <w:pPr>
        <w:pStyle w:val="BodyText"/>
        <w:jc w:val="both"/>
        <w:rPr>
          <w:rFonts w:eastAsia="MS Mincho"/>
          <w:lang w:val="en-US" w:eastAsia="ja-JP"/>
        </w:rPr>
      </w:pPr>
      <w:r>
        <w:t xml:space="preserve">According to agreements made in NR </w:t>
      </w:r>
      <w:r w:rsidR="00461700">
        <w:t>SI [3]</w:t>
      </w:r>
      <w:r>
        <w:t xml:space="preserve">, </w:t>
      </w:r>
      <w:r w:rsidRPr="00262D9D">
        <w:rPr>
          <w:i/>
        </w:rPr>
        <w:t>intra-slot frequency-hopping is supported for long PUCCH</w:t>
      </w:r>
      <w:r>
        <w:t xml:space="preserve">. </w:t>
      </w:r>
      <w:r w:rsidR="00EC2DFB">
        <w:rPr>
          <w:rFonts w:eastAsia="MS Mincho"/>
          <w:lang w:val="en-US" w:eastAsia="ja-JP"/>
        </w:rPr>
        <w:t xml:space="preserve">Figure 1 shows </w:t>
      </w:r>
      <w:r w:rsidR="006C3AB0">
        <w:rPr>
          <w:rFonts w:eastAsia="MS Mincho"/>
          <w:lang w:val="en-US" w:eastAsia="ja-JP"/>
        </w:rPr>
        <w:t xml:space="preserve">two examples </w:t>
      </w:r>
      <w:r w:rsidR="00C82FEE">
        <w:rPr>
          <w:rFonts w:eastAsia="MS Mincho"/>
          <w:lang w:val="en-US" w:eastAsia="ja-JP"/>
        </w:rPr>
        <w:t xml:space="preserve">for </w:t>
      </w:r>
      <w:r w:rsidR="00EC2DFB">
        <w:rPr>
          <w:rFonts w:eastAsia="MS Mincho"/>
          <w:lang w:val="en-US" w:eastAsia="ja-JP"/>
        </w:rPr>
        <w:t xml:space="preserve">the long PUCCH multiplexing within </w:t>
      </w:r>
      <w:r w:rsidR="0008559A">
        <w:rPr>
          <w:rFonts w:eastAsia="MS Mincho"/>
          <w:lang w:val="en-US" w:eastAsia="ja-JP"/>
        </w:rPr>
        <w:t xml:space="preserve">a </w:t>
      </w:r>
      <w:r w:rsidR="00EC2DFB">
        <w:rPr>
          <w:rFonts w:eastAsia="MS Mincho"/>
          <w:lang w:val="en-US" w:eastAsia="ja-JP"/>
        </w:rPr>
        <w:t xml:space="preserve">slot. </w:t>
      </w:r>
      <w:r w:rsidR="006C3AB0">
        <w:rPr>
          <w:rFonts w:eastAsia="MS Mincho"/>
          <w:lang w:val="en-US" w:eastAsia="ja-JP"/>
        </w:rPr>
        <w:t>In both examples PUCCH transmission is</w:t>
      </w:r>
      <w:r w:rsidR="00EC2DFB">
        <w:rPr>
          <w:rFonts w:eastAsia="MS Mincho"/>
          <w:lang w:val="en-US" w:eastAsia="ja-JP"/>
        </w:rPr>
        <w:t xml:space="preserve"> arranged </w:t>
      </w:r>
      <w:r w:rsidR="0008559A">
        <w:rPr>
          <w:rFonts w:eastAsia="MS Mincho"/>
          <w:lang w:val="en-US" w:eastAsia="ja-JP"/>
        </w:rPr>
        <w:t xml:space="preserve">with </w:t>
      </w:r>
      <w:r w:rsidR="00EC2DFB">
        <w:rPr>
          <w:rFonts w:eastAsia="MS Mincho"/>
          <w:lang w:val="en-US" w:eastAsia="ja-JP"/>
        </w:rPr>
        <w:lastRenderedPageBreak/>
        <w:t xml:space="preserve">frequency hopping </w:t>
      </w:r>
      <w:r w:rsidR="0008559A">
        <w:rPr>
          <w:rFonts w:eastAsia="MS Mincho"/>
          <w:lang w:val="en-US" w:eastAsia="ja-JP"/>
        </w:rPr>
        <w:t>between</w:t>
      </w:r>
      <w:r w:rsidR="00EC2DFB">
        <w:rPr>
          <w:rFonts w:eastAsia="MS Mincho"/>
          <w:lang w:val="en-US" w:eastAsia="ja-JP"/>
        </w:rPr>
        <w:t xml:space="preserve"> two PRBs in the frequency. </w:t>
      </w:r>
      <w:r w:rsidR="009E33D7">
        <w:rPr>
          <w:rFonts w:eastAsia="MS Mincho"/>
          <w:lang w:val="en-US" w:eastAsia="ja-JP"/>
        </w:rPr>
        <w:t>Hopping between two PRBs provide</w:t>
      </w:r>
      <w:r w:rsidR="00B83E1B">
        <w:rPr>
          <w:rFonts w:eastAsia="MS Mincho"/>
          <w:lang w:val="en-US" w:eastAsia="ja-JP"/>
        </w:rPr>
        <w:t>s</w:t>
      </w:r>
      <w:r w:rsidR="009E33D7">
        <w:rPr>
          <w:rFonts w:eastAsia="MS Mincho"/>
          <w:lang w:val="en-US" w:eastAsia="ja-JP"/>
        </w:rPr>
        <w:t xml:space="preserve"> reasonable trade-off between frequency diversity</w:t>
      </w:r>
      <w:r w:rsidR="00B83E1B">
        <w:rPr>
          <w:rFonts w:eastAsia="MS Mincho"/>
          <w:lang w:val="en-US" w:eastAsia="ja-JP"/>
        </w:rPr>
        <w:t xml:space="preserve"> and DMRS overhead</w:t>
      </w:r>
      <w:r w:rsidR="009E33D7">
        <w:rPr>
          <w:rFonts w:eastAsia="MS Mincho"/>
          <w:lang w:val="en-US" w:eastAsia="ja-JP"/>
        </w:rPr>
        <w:t>.</w:t>
      </w:r>
      <w:r w:rsidR="00B83E1B">
        <w:rPr>
          <w:rFonts w:eastAsia="MS Mincho"/>
          <w:lang w:val="en-US" w:eastAsia="ja-JP"/>
        </w:rPr>
        <w:t xml:space="preserve"> Correspondingly, it was agreed in RAN1#88 [5] that f</w:t>
      </w:r>
      <w:r w:rsidR="00B83E1B" w:rsidRPr="00B83E1B">
        <w:rPr>
          <w:rFonts w:eastAsia="MS Mincho"/>
          <w:lang w:eastAsia="ja-JP"/>
        </w:rPr>
        <w:t xml:space="preserve">requency-diversity gain </w:t>
      </w:r>
      <w:r w:rsidR="00B83E1B">
        <w:rPr>
          <w:rFonts w:eastAsia="MS Mincho"/>
          <w:lang w:eastAsia="ja-JP"/>
        </w:rPr>
        <w:t xml:space="preserve">for </w:t>
      </w:r>
      <w:bookmarkStart w:id="0" w:name="_GoBack"/>
      <w:r w:rsidR="00B83E1B">
        <w:rPr>
          <w:rFonts w:eastAsia="MS Mincho"/>
          <w:lang w:eastAsia="ja-JP"/>
        </w:rPr>
        <w:t xml:space="preserve">long PUCCH </w:t>
      </w:r>
      <w:bookmarkEnd w:id="0"/>
      <w:r w:rsidR="00B83E1B" w:rsidRPr="00B83E1B">
        <w:rPr>
          <w:rFonts w:eastAsia="MS Mincho"/>
          <w:lang w:eastAsia="ja-JP"/>
        </w:rPr>
        <w:t>should be same/similar to LTE PUCCH</w:t>
      </w:r>
      <w:r w:rsidR="00B83E1B">
        <w:rPr>
          <w:rFonts w:eastAsia="MS Mincho"/>
          <w:lang w:val="en-US" w:eastAsia="ja-JP"/>
        </w:rPr>
        <w:t>.</w:t>
      </w:r>
      <w:r w:rsidR="009E33D7">
        <w:rPr>
          <w:rFonts w:eastAsia="MS Mincho"/>
          <w:lang w:val="en-US" w:eastAsia="ja-JP"/>
        </w:rPr>
        <w:t xml:space="preserve"> </w:t>
      </w:r>
    </w:p>
    <w:p w14:paraId="781D6625" w14:textId="2BE71119" w:rsidR="002B3BBD" w:rsidRDefault="006C3AB0" w:rsidP="00521425">
      <w:pPr>
        <w:pStyle w:val="BodyText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It</w:t>
      </w:r>
      <w:r w:rsidR="00CF4CF2">
        <w:rPr>
          <w:rFonts w:eastAsia="MS Mincho"/>
          <w:lang w:val="en-US" w:eastAsia="ja-JP"/>
        </w:rPr>
        <w:t xml:space="preserve"> makes sense to restrict the long PUCCH transmission</w:t>
      </w:r>
      <w:r w:rsidR="009E33D7">
        <w:rPr>
          <w:rFonts w:eastAsia="MS Mincho"/>
          <w:lang w:val="en-US" w:eastAsia="ja-JP"/>
        </w:rPr>
        <w:t>s</w:t>
      </w:r>
      <w:r w:rsidR="00CF4CF2">
        <w:rPr>
          <w:rFonts w:eastAsia="MS Mincho"/>
          <w:lang w:val="en-US" w:eastAsia="ja-JP"/>
        </w:rPr>
        <w:t xml:space="preserve"> into two sub</w:t>
      </w:r>
      <w:r w:rsidR="00986146">
        <w:rPr>
          <w:rFonts w:eastAsia="MS Mincho"/>
          <w:lang w:val="en-US" w:eastAsia="ja-JP"/>
        </w:rPr>
        <w:t>-</w:t>
      </w:r>
      <w:r w:rsidR="00CF4CF2">
        <w:rPr>
          <w:rFonts w:eastAsia="MS Mincho"/>
          <w:lang w:val="en-US" w:eastAsia="ja-JP"/>
        </w:rPr>
        <w:t>bands in the frequency</w:t>
      </w:r>
      <w:r>
        <w:rPr>
          <w:rFonts w:eastAsia="MS Mincho"/>
          <w:lang w:val="en-US" w:eastAsia="ja-JP"/>
        </w:rPr>
        <w:t>, similarly as in LTE</w:t>
      </w:r>
      <w:r w:rsidR="00CF4CF2">
        <w:rPr>
          <w:rFonts w:eastAsia="MS Mincho"/>
          <w:lang w:val="en-US" w:eastAsia="ja-JP"/>
        </w:rPr>
        <w:t xml:space="preserve">. The motivation for such </w:t>
      </w:r>
      <w:r w:rsidR="003D54B0">
        <w:rPr>
          <w:rFonts w:eastAsia="MS Mincho"/>
          <w:lang w:val="en-US" w:eastAsia="ja-JP"/>
        </w:rPr>
        <w:t xml:space="preserve">dual </w:t>
      </w:r>
      <w:r w:rsidR="00C82FEE">
        <w:rPr>
          <w:rFonts w:eastAsia="MS Mincho"/>
          <w:lang w:val="en-US" w:eastAsia="ja-JP"/>
        </w:rPr>
        <w:t>sub</w:t>
      </w:r>
      <w:r w:rsidR="00986146">
        <w:rPr>
          <w:rFonts w:eastAsia="MS Mincho"/>
          <w:lang w:val="en-US" w:eastAsia="ja-JP"/>
        </w:rPr>
        <w:t>-</w:t>
      </w:r>
      <w:r w:rsidR="00C82FEE">
        <w:rPr>
          <w:rFonts w:eastAsia="MS Mincho"/>
          <w:lang w:val="en-US" w:eastAsia="ja-JP"/>
        </w:rPr>
        <w:t xml:space="preserve">band </w:t>
      </w:r>
      <w:r w:rsidR="00E3250F">
        <w:rPr>
          <w:rFonts w:eastAsia="MS Mincho"/>
          <w:lang w:val="en-US" w:eastAsia="ja-JP"/>
        </w:rPr>
        <w:t>-</w:t>
      </w:r>
      <w:r w:rsidR="00C82FEE">
        <w:rPr>
          <w:rFonts w:eastAsia="MS Mincho"/>
          <w:lang w:val="en-US" w:eastAsia="ja-JP"/>
        </w:rPr>
        <w:t xml:space="preserve">based </w:t>
      </w:r>
      <w:r w:rsidR="00CF4CF2">
        <w:rPr>
          <w:rFonts w:eastAsia="MS Mincho"/>
          <w:lang w:val="en-US" w:eastAsia="ja-JP"/>
        </w:rPr>
        <w:t xml:space="preserve">operation </w:t>
      </w:r>
      <w:r w:rsidR="00785B0F">
        <w:rPr>
          <w:rFonts w:eastAsia="MS Mincho"/>
          <w:lang w:val="en-US" w:eastAsia="ja-JP"/>
        </w:rPr>
        <w:t xml:space="preserve">is that it avoids excessive UL </w:t>
      </w:r>
      <w:r w:rsidR="000E4376">
        <w:rPr>
          <w:rFonts w:eastAsia="MS Mincho"/>
          <w:lang w:val="en-US" w:eastAsia="ja-JP"/>
        </w:rPr>
        <w:t xml:space="preserve">resource fragmentation. This simplifies PUSCH </w:t>
      </w:r>
      <w:r w:rsidR="00785B0F">
        <w:rPr>
          <w:rFonts w:eastAsia="MS Mincho"/>
          <w:lang w:val="en-US" w:eastAsia="ja-JP"/>
        </w:rPr>
        <w:t xml:space="preserve">scheduling, </w:t>
      </w:r>
      <w:r w:rsidR="00CF4CF2">
        <w:rPr>
          <w:rFonts w:eastAsia="MS Mincho"/>
          <w:lang w:val="en-US" w:eastAsia="ja-JP"/>
        </w:rPr>
        <w:t xml:space="preserve">forward compatibility, </w:t>
      </w:r>
      <w:r w:rsidR="000E4376">
        <w:rPr>
          <w:rFonts w:eastAsia="MS Mincho"/>
          <w:lang w:val="en-US" w:eastAsia="ja-JP"/>
        </w:rPr>
        <w:t xml:space="preserve">and </w:t>
      </w:r>
      <w:r w:rsidR="00CF4CF2">
        <w:rPr>
          <w:rFonts w:eastAsia="MS Mincho"/>
          <w:lang w:val="en-US" w:eastAsia="ja-JP"/>
        </w:rPr>
        <w:t>support for frequency-domain ICIC</w:t>
      </w:r>
      <w:r w:rsidR="000E4376">
        <w:rPr>
          <w:rFonts w:eastAsia="MS Mincho"/>
          <w:lang w:val="en-US" w:eastAsia="ja-JP"/>
        </w:rPr>
        <w:t>.</w:t>
      </w:r>
      <w:r w:rsidR="00C82FEE">
        <w:rPr>
          <w:rFonts w:eastAsia="MS Mincho"/>
          <w:lang w:val="en-US" w:eastAsia="ja-JP"/>
        </w:rPr>
        <w:t xml:space="preserve"> </w:t>
      </w:r>
      <w:r w:rsidR="00B83E1B">
        <w:rPr>
          <w:rFonts w:eastAsia="MS Mincho"/>
          <w:lang w:val="en-US" w:eastAsia="ja-JP"/>
        </w:rPr>
        <w:t>The two s</w:t>
      </w:r>
      <w:r w:rsidR="00053588">
        <w:rPr>
          <w:rFonts w:eastAsia="MS Mincho"/>
          <w:lang w:val="en-US" w:eastAsia="ja-JP"/>
        </w:rPr>
        <w:t xml:space="preserve">ub-bands </w:t>
      </w:r>
      <w:r w:rsidR="009E33D7">
        <w:rPr>
          <w:rFonts w:eastAsia="MS Mincho"/>
          <w:lang w:val="en-US" w:eastAsia="ja-JP"/>
        </w:rPr>
        <w:t xml:space="preserve">or frequency domain clusters </w:t>
      </w:r>
      <w:r w:rsidR="00053588">
        <w:rPr>
          <w:rFonts w:eastAsia="MS Mincho"/>
          <w:lang w:val="en-US" w:eastAsia="ja-JP"/>
        </w:rPr>
        <w:t>for l</w:t>
      </w:r>
      <w:r w:rsidR="00EC2DFB">
        <w:rPr>
          <w:rFonts w:eastAsia="MS Mincho"/>
          <w:lang w:val="en-US" w:eastAsia="ja-JP"/>
        </w:rPr>
        <w:t>ong PUCCH can be configured via higher layer signaling</w:t>
      </w:r>
      <w:r w:rsidR="009E33D7">
        <w:rPr>
          <w:rFonts w:eastAsia="MS Mincho"/>
          <w:lang w:val="en-US" w:eastAsia="ja-JP"/>
        </w:rPr>
        <w:t>. Sub-band configuration</w:t>
      </w:r>
      <w:r w:rsidR="00053588">
        <w:rPr>
          <w:rFonts w:eastAsia="MS Mincho"/>
          <w:lang w:val="en-US" w:eastAsia="ja-JP"/>
        </w:rPr>
        <w:t xml:space="preserve"> need to take into account</w:t>
      </w:r>
      <w:r w:rsidR="009E33D7">
        <w:rPr>
          <w:rFonts w:eastAsia="MS Mincho"/>
          <w:lang w:val="en-US" w:eastAsia="ja-JP"/>
        </w:rPr>
        <w:t xml:space="preserve"> the</w:t>
      </w:r>
      <w:r w:rsidR="00053588">
        <w:rPr>
          <w:rFonts w:eastAsia="MS Mincho"/>
          <w:lang w:val="en-US" w:eastAsia="ja-JP"/>
        </w:rPr>
        <w:t xml:space="preserve"> minimum Tx BW of (eMBB/URLLC) UEs in the system</w:t>
      </w:r>
      <w:r w:rsidR="009E33D7">
        <w:rPr>
          <w:rFonts w:eastAsia="MS Mincho"/>
          <w:lang w:val="en-US" w:eastAsia="ja-JP"/>
        </w:rPr>
        <w:t xml:space="preserve"> so that all UEs can follow the same long PUCCH sub-band configuration</w:t>
      </w:r>
      <w:r w:rsidR="00053588">
        <w:rPr>
          <w:rFonts w:eastAsia="MS Mincho"/>
          <w:lang w:val="en-US" w:eastAsia="ja-JP"/>
        </w:rPr>
        <w:t xml:space="preserve">. </w:t>
      </w:r>
      <w:r w:rsidR="00EC2DFB">
        <w:rPr>
          <w:rFonts w:eastAsia="MS Mincho"/>
          <w:lang w:val="en-US" w:eastAsia="ja-JP"/>
        </w:rPr>
        <w:t xml:space="preserve"> </w:t>
      </w:r>
    </w:p>
    <w:p w14:paraId="54AE71FA" w14:textId="08216D18" w:rsidR="00EC2DFB" w:rsidRPr="00276F4E" w:rsidRDefault="002B3BBD" w:rsidP="002B3BBD">
      <w:pPr>
        <w:pStyle w:val="BodyText"/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Two</w:t>
      </w:r>
      <w:r w:rsidR="00EC2DFB">
        <w:rPr>
          <w:rFonts w:eastAsia="MS Mincho"/>
          <w:lang w:val="en-US" w:eastAsia="ja-JP"/>
        </w:rPr>
        <w:t xml:space="preserve"> flavors of the </w:t>
      </w:r>
      <w:r w:rsidR="00EC2DFB" w:rsidRPr="006A1BEB">
        <w:rPr>
          <w:rFonts w:eastAsia="MS Mincho"/>
          <w:lang w:val="en-US" w:eastAsia="ja-JP"/>
        </w:rPr>
        <w:t xml:space="preserve">frequency hopping </w:t>
      </w:r>
      <w:r w:rsidRPr="006A1BEB">
        <w:rPr>
          <w:rFonts w:eastAsia="MS Mincho"/>
          <w:lang w:val="en-US" w:eastAsia="ja-JP"/>
        </w:rPr>
        <w:t xml:space="preserve">are </w:t>
      </w:r>
      <w:r w:rsidR="00EC2DFB" w:rsidRPr="006A1BEB">
        <w:rPr>
          <w:rFonts w:eastAsia="MS Mincho"/>
          <w:lang w:val="en-US" w:eastAsia="ja-JP"/>
        </w:rPr>
        <w:t>shown in Figure 1</w:t>
      </w:r>
      <w:r w:rsidR="00053588" w:rsidRPr="006A1BEB">
        <w:rPr>
          <w:rFonts w:eastAsia="MS Mincho"/>
          <w:lang w:val="en-US" w:eastAsia="ja-JP"/>
        </w:rPr>
        <w:t>:</w:t>
      </w:r>
      <w:r w:rsidR="00EC2DFB" w:rsidRPr="00276F4E">
        <w:rPr>
          <w:rFonts w:eastAsia="MS Mincho"/>
          <w:lang w:val="en-US" w:eastAsia="ja-JP"/>
        </w:rPr>
        <w:t xml:space="preserve"> </w:t>
      </w:r>
    </w:p>
    <w:p w14:paraId="43576F58" w14:textId="10DF6DE1" w:rsidR="00EC2DFB" w:rsidRPr="00276F4E" w:rsidRDefault="00EC2DFB" w:rsidP="00D514A9">
      <w:pPr>
        <w:pStyle w:val="ListParagraph"/>
        <w:numPr>
          <w:ilvl w:val="0"/>
          <w:numId w:val="4"/>
        </w:numPr>
        <w:jc w:val="both"/>
        <w:rPr>
          <w:rFonts w:eastAsia="MS Mincho"/>
          <w:sz w:val="20"/>
          <w:szCs w:val="20"/>
          <w:lang w:val="en-US" w:eastAsia="ja-JP"/>
        </w:rPr>
      </w:pPr>
      <w:r w:rsidRPr="00521425">
        <w:rPr>
          <w:rFonts w:eastAsia="MS Mincho"/>
          <w:sz w:val="20"/>
          <w:szCs w:val="20"/>
          <w:lang w:val="en-US" w:eastAsia="ja-JP"/>
        </w:rPr>
        <w:t>“half</w:t>
      </w:r>
      <w:r w:rsidRPr="006A1BEB">
        <w:rPr>
          <w:rFonts w:eastAsia="MS Mincho"/>
          <w:sz w:val="20"/>
          <w:szCs w:val="20"/>
          <w:lang w:val="en-US" w:eastAsia="ja-JP"/>
        </w:rPr>
        <w:t xml:space="preserve">-slot” </w:t>
      </w:r>
      <w:r w:rsidR="001F51C5" w:rsidRPr="006A1BEB">
        <w:rPr>
          <w:rFonts w:eastAsia="MS Mincho"/>
          <w:sz w:val="20"/>
          <w:szCs w:val="20"/>
          <w:lang w:val="en-US" w:eastAsia="ja-JP"/>
        </w:rPr>
        <w:t>-</w:t>
      </w:r>
      <w:r w:rsidRPr="006A1BEB">
        <w:rPr>
          <w:rFonts w:eastAsia="MS Mincho"/>
          <w:sz w:val="20"/>
          <w:szCs w:val="20"/>
          <w:lang w:val="en-US" w:eastAsia="ja-JP"/>
        </w:rPr>
        <w:t xml:space="preserve">based </w:t>
      </w:r>
      <w:r w:rsidR="002B3BBD" w:rsidRPr="006A1BEB">
        <w:rPr>
          <w:rFonts w:eastAsia="MS Mincho"/>
          <w:sz w:val="20"/>
          <w:szCs w:val="20"/>
          <w:lang w:val="en-US" w:eastAsia="ja-JP"/>
        </w:rPr>
        <w:t xml:space="preserve">hopping </w:t>
      </w:r>
    </w:p>
    <w:p w14:paraId="40DCB7C0" w14:textId="3485B547" w:rsidR="00A11535" w:rsidRPr="00A36155" w:rsidRDefault="00EC2DFB" w:rsidP="00521425">
      <w:pPr>
        <w:pStyle w:val="ListParagraph"/>
        <w:numPr>
          <w:ilvl w:val="0"/>
          <w:numId w:val="4"/>
        </w:numPr>
        <w:spacing w:after="120"/>
        <w:ind w:left="924" w:hanging="357"/>
        <w:jc w:val="both"/>
        <w:rPr>
          <w:rFonts w:eastAsia="MS Mincho"/>
          <w:lang w:val="en-US" w:eastAsia="ja-JP"/>
        </w:rPr>
      </w:pPr>
      <w:r w:rsidRPr="00521425">
        <w:rPr>
          <w:rFonts w:eastAsia="MS Mincho"/>
          <w:sz w:val="20"/>
          <w:szCs w:val="20"/>
          <w:lang w:val="en-US" w:eastAsia="ja-JP"/>
        </w:rPr>
        <w:t xml:space="preserve">OFDM symbol </w:t>
      </w:r>
      <w:r w:rsidR="002B3BBD" w:rsidRPr="00521425">
        <w:rPr>
          <w:rFonts w:eastAsia="MS Mincho"/>
          <w:sz w:val="20"/>
          <w:szCs w:val="20"/>
          <w:lang w:val="en-US" w:eastAsia="ja-JP"/>
        </w:rPr>
        <w:t>–</w:t>
      </w:r>
      <w:r w:rsidRPr="00521425">
        <w:rPr>
          <w:rFonts w:eastAsia="MS Mincho"/>
          <w:sz w:val="20"/>
          <w:szCs w:val="20"/>
          <w:lang w:val="en-US" w:eastAsia="ja-JP"/>
        </w:rPr>
        <w:t>based</w:t>
      </w:r>
      <w:r w:rsidR="002B3BBD" w:rsidRPr="00521425">
        <w:rPr>
          <w:rFonts w:eastAsia="MS Mincho"/>
          <w:sz w:val="20"/>
          <w:szCs w:val="20"/>
          <w:lang w:val="en-US" w:eastAsia="ja-JP"/>
        </w:rPr>
        <w:t xml:space="preserve"> hopping.</w:t>
      </w:r>
    </w:p>
    <w:p w14:paraId="0C9379C4" w14:textId="5C3818E1" w:rsidR="00EC2DFB" w:rsidRDefault="00EC2DFB" w:rsidP="00A3615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benefit of OFDM symbol based hopping is that it can provide frequency diversity already for two consecutive OFDM symbols. This c</w:t>
      </w:r>
      <w:r w:rsidR="00703571">
        <w:rPr>
          <w:rFonts w:eastAsia="MS Mincho"/>
          <w:lang w:val="en-US" w:eastAsia="ja-JP"/>
        </w:rPr>
        <w:t>an</w:t>
      </w:r>
      <w:r>
        <w:rPr>
          <w:rFonts w:eastAsia="MS Mincho"/>
          <w:lang w:val="en-US" w:eastAsia="ja-JP"/>
        </w:rPr>
        <w:t xml:space="preserve"> be seen as an advantage</w:t>
      </w:r>
      <w:r w:rsidR="00365C3D">
        <w:rPr>
          <w:rFonts w:eastAsia="MS Mincho"/>
          <w:lang w:val="en-US" w:eastAsia="ja-JP"/>
        </w:rPr>
        <w:t xml:space="preserve"> for forward compatibility,</w:t>
      </w:r>
      <w:r>
        <w:rPr>
          <w:rFonts w:eastAsia="MS Mincho"/>
          <w:lang w:val="en-US" w:eastAsia="ja-JP"/>
        </w:rPr>
        <w:t xml:space="preserve"> e.g. when </w:t>
      </w:r>
      <w:r w:rsidR="00156ABA">
        <w:rPr>
          <w:rFonts w:eastAsia="MS Mincho"/>
          <w:lang w:val="en-US" w:eastAsia="ja-JP"/>
        </w:rPr>
        <w:t xml:space="preserve">multiplexing </w:t>
      </w:r>
      <w:r>
        <w:rPr>
          <w:rFonts w:eastAsia="MS Mincho"/>
          <w:lang w:val="en-US" w:eastAsia="ja-JP"/>
        </w:rPr>
        <w:t>HARQ-ACK</w:t>
      </w:r>
      <w:r w:rsidR="00BD5C7A">
        <w:rPr>
          <w:rFonts w:eastAsia="MS Mincho"/>
          <w:lang w:val="en-US" w:eastAsia="ja-JP"/>
        </w:rPr>
        <w:t xml:space="preserve"> corresponding to </w:t>
      </w:r>
      <w:r>
        <w:rPr>
          <w:rFonts w:eastAsia="MS Mincho"/>
          <w:lang w:val="en-US" w:eastAsia="ja-JP"/>
        </w:rPr>
        <w:t xml:space="preserve">mini-slots </w:t>
      </w:r>
      <w:r w:rsidR="00156ABA">
        <w:rPr>
          <w:rFonts w:eastAsia="MS Mincho"/>
          <w:lang w:val="en-US" w:eastAsia="ja-JP"/>
        </w:rPr>
        <w:t xml:space="preserve">with </w:t>
      </w:r>
      <w:r>
        <w:rPr>
          <w:rFonts w:eastAsia="MS Mincho"/>
          <w:lang w:val="en-US" w:eastAsia="ja-JP"/>
        </w:rPr>
        <w:t>long PUCCH</w:t>
      </w:r>
      <w:r w:rsidR="00262D9D">
        <w:rPr>
          <w:rFonts w:eastAsia="MS Mincho"/>
          <w:lang w:val="en-US" w:eastAsia="ja-JP"/>
        </w:rPr>
        <w:t xml:space="preserve"> on the same </w:t>
      </w:r>
      <w:r w:rsidR="00703571">
        <w:rPr>
          <w:rFonts w:eastAsia="MS Mincho"/>
          <w:lang w:val="en-US" w:eastAsia="ja-JP"/>
        </w:rPr>
        <w:t>P</w:t>
      </w:r>
      <w:r w:rsidR="00262D9D">
        <w:rPr>
          <w:rFonts w:eastAsia="MS Mincho"/>
          <w:lang w:val="en-US" w:eastAsia="ja-JP"/>
        </w:rPr>
        <w:t>RBs</w:t>
      </w:r>
      <w:r w:rsidR="00365C3D">
        <w:rPr>
          <w:rFonts w:eastAsia="MS Mincho"/>
          <w:lang w:val="en-US" w:eastAsia="ja-JP"/>
        </w:rPr>
        <w:t xml:space="preserve">, as it prevents PUCCH resource fragmentation into separate long PUCCH and mini-slot PUCCH clusters. </w:t>
      </w:r>
    </w:p>
    <w:p w14:paraId="110E3AFC" w14:textId="1E060810" w:rsidR="00656F79" w:rsidRDefault="000C5CBA" w:rsidP="00A3615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OFDM symbol-based hopping also provides a unified structure for different lengths (e.g. a full slot and a “almost” full slot) in the sense that the signal of long PUCCH with a shorter duration can be truncated from the signal of long PUCCH with a longer duration. This may ease the implementation when supporting different lengths.</w:t>
      </w:r>
    </w:p>
    <w:p w14:paraId="7CE18373" w14:textId="6705EABE" w:rsidR="006B23B9" w:rsidRDefault="006B23B9" w:rsidP="00521425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half-slot-based hopping, on the other hand, can potentially provide better channel estimation with the same DMRS overhead</w:t>
      </w:r>
      <w:r w:rsidR="00365C3D">
        <w:rPr>
          <w:rFonts w:eastAsia="MS Mincho"/>
          <w:lang w:val="en-US" w:eastAsia="ja-JP"/>
        </w:rPr>
        <w:t xml:space="preserve"> especially with larger Doppler values</w:t>
      </w:r>
      <w:r>
        <w:rPr>
          <w:rFonts w:eastAsia="MS Mincho"/>
          <w:lang w:val="en-US" w:eastAsia="ja-JP"/>
        </w:rPr>
        <w:t>.</w:t>
      </w:r>
      <w:r w:rsidR="00365C3D">
        <w:rPr>
          <w:rFonts w:eastAsia="MS Mincho"/>
          <w:lang w:val="en-US" w:eastAsia="ja-JP"/>
        </w:rPr>
        <w:t xml:space="preserve"> </w:t>
      </w:r>
    </w:p>
    <w:p w14:paraId="44092D67" w14:textId="68700149" w:rsidR="001F51C5" w:rsidRDefault="001F51C5" w:rsidP="00521425">
      <w:pPr>
        <w:rPr>
          <w:i/>
        </w:rPr>
      </w:pPr>
      <w:r>
        <w:rPr>
          <w:b/>
          <w:i/>
        </w:rPr>
        <w:t xml:space="preserve">Proposal 4: </w:t>
      </w:r>
      <w:r w:rsidR="002B3BBD">
        <w:rPr>
          <w:i/>
        </w:rPr>
        <w:t>Two frequency domain clusters for long PUCCH are configured via higher layer signalling</w:t>
      </w:r>
      <w:r w:rsidR="006A1BEB">
        <w:rPr>
          <w:i/>
        </w:rPr>
        <w:t>.</w:t>
      </w:r>
    </w:p>
    <w:p w14:paraId="1C4AAEFB" w14:textId="2BEE458E" w:rsidR="00461700" w:rsidRDefault="00EC2DFB" w:rsidP="00521425">
      <w:pPr>
        <w:rPr>
          <w:i/>
        </w:rPr>
      </w:pPr>
      <w:r>
        <w:rPr>
          <w:b/>
          <w:i/>
        </w:rPr>
        <w:t xml:space="preserve">Proposal </w:t>
      </w:r>
      <w:r w:rsidR="001F51C5">
        <w:rPr>
          <w:b/>
          <w:i/>
        </w:rPr>
        <w:t>5</w:t>
      </w:r>
      <w:r>
        <w:rPr>
          <w:b/>
          <w:i/>
        </w:rPr>
        <w:t xml:space="preserve">: </w:t>
      </w:r>
      <w:r>
        <w:rPr>
          <w:i/>
        </w:rPr>
        <w:t>Consider both “half-slot” based and symbol based frequency hopping for long PUCCH</w:t>
      </w:r>
      <w:r w:rsidR="006A1BEB">
        <w:rPr>
          <w:i/>
        </w:rPr>
        <w:t>.</w:t>
      </w:r>
    </w:p>
    <w:p w14:paraId="3F3D4FC1" w14:textId="77777777" w:rsidR="00EC2DFB" w:rsidRDefault="00EC2DFB" w:rsidP="00EC2DFB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       </w:t>
      </w:r>
      <w:r w:rsidRPr="00B92D25">
        <w:rPr>
          <w:noProof/>
          <w:lang w:val="fi-FI" w:eastAsia="fi-FI"/>
        </w:rPr>
        <w:drawing>
          <wp:inline distT="0" distB="0" distL="0" distR="0" wp14:anchorId="0762A235" wp14:editId="6DF56D1E">
            <wp:extent cx="3608954" cy="210104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098" cy="2105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97462" w14:textId="77777777" w:rsidR="00EC2DFB" w:rsidRPr="0035785F" w:rsidRDefault="00EC2DFB" w:rsidP="00A36155">
      <w:pPr>
        <w:spacing w:before="120" w:after="240"/>
        <w:jc w:val="center"/>
        <w:rPr>
          <w:b/>
          <w:lang w:val="en-US"/>
        </w:rPr>
      </w:pPr>
      <w:r w:rsidRPr="0035785F">
        <w:rPr>
          <w:b/>
        </w:rPr>
        <w:t xml:space="preserve">Figure </w:t>
      </w:r>
      <w:r w:rsidRPr="0035785F">
        <w:rPr>
          <w:b/>
        </w:rPr>
        <w:fldChar w:fldCharType="begin"/>
      </w:r>
      <w:r w:rsidRPr="0035785F">
        <w:rPr>
          <w:b/>
        </w:rPr>
        <w:instrText xml:space="preserve"> SEQ Figure \* ARABIC </w:instrText>
      </w:r>
      <w:r w:rsidRPr="0035785F">
        <w:rPr>
          <w:b/>
        </w:rPr>
        <w:fldChar w:fldCharType="separate"/>
      </w:r>
      <w:r>
        <w:rPr>
          <w:b/>
          <w:noProof/>
        </w:rPr>
        <w:t>1</w:t>
      </w:r>
      <w:r w:rsidRPr="0035785F">
        <w:rPr>
          <w:b/>
        </w:rPr>
        <w:fldChar w:fldCharType="end"/>
      </w:r>
      <w:r w:rsidRPr="0035785F">
        <w:rPr>
          <w:b/>
          <w:lang w:val="en-US"/>
        </w:rPr>
        <w:t xml:space="preserve"> </w:t>
      </w:r>
      <w:r>
        <w:rPr>
          <w:b/>
          <w:lang w:val="en-US"/>
        </w:rPr>
        <w:t>Long PUCCH structure, a) “half”-slot –based and b) symbol based</w:t>
      </w:r>
    </w:p>
    <w:p w14:paraId="309CF98E" w14:textId="6EEF31F9" w:rsidR="00053588" w:rsidRPr="00141E40" w:rsidRDefault="00053588" w:rsidP="00521425">
      <w:pPr>
        <w:pStyle w:val="Heading1"/>
        <w:rPr>
          <w:rFonts w:eastAsia="MS Mincho"/>
          <w:lang w:val="en-US" w:eastAsia="ja-JP"/>
        </w:rPr>
      </w:pPr>
      <w:r>
        <w:rPr>
          <w:color w:val="000000"/>
        </w:rPr>
        <w:t>4</w:t>
      </w:r>
      <w:r w:rsidRPr="00A51522">
        <w:rPr>
          <w:color w:val="000000"/>
        </w:rPr>
        <w:tab/>
      </w:r>
      <w:r>
        <w:rPr>
          <w:color w:val="000000"/>
        </w:rPr>
        <w:t xml:space="preserve">Long PUCCH </w:t>
      </w:r>
      <w:r w:rsidR="00656F79">
        <w:rPr>
          <w:color w:val="000000"/>
        </w:rPr>
        <w:t>DMRS and inter-cell randomization</w:t>
      </w:r>
      <w:r>
        <w:t xml:space="preserve"> </w:t>
      </w:r>
    </w:p>
    <w:p w14:paraId="360B9C05" w14:textId="24A14D57" w:rsidR="006F2654" w:rsidRPr="00262D9D" w:rsidRDefault="00986146" w:rsidP="00521425">
      <w:pPr>
        <w:jc w:val="both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To</w:t>
      </w:r>
      <w:r w:rsidR="006F2654">
        <w:rPr>
          <w:rFonts w:eastAsia="MS Mincho"/>
          <w:lang w:val="en-US" w:eastAsia="ja-JP"/>
        </w:rPr>
        <w:t xml:space="preserve"> support low CM/PAPR transmission, it makes sense to use DMRS sequences defined for LTE PUCCH also for NR long PUCCH. </w:t>
      </w:r>
      <w:r w:rsidR="00656F79">
        <w:rPr>
          <w:rFonts w:eastAsia="MS Mincho"/>
          <w:lang w:val="en-US" w:eastAsia="ja-JP"/>
        </w:rPr>
        <w:t xml:space="preserve">Preferable </w:t>
      </w:r>
      <w:r w:rsidR="006F2654">
        <w:rPr>
          <w:rFonts w:eastAsia="MS Mincho"/>
          <w:lang w:val="en-US" w:eastAsia="ja-JP"/>
        </w:rPr>
        <w:t xml:space="preserve">DMRS location within slot </w:t>
      </w:r>
      <w:r w:rsidR="00656F79">
        <w:rPr>
          <w:rFonts w:eastAsia="MS Mincho"/>
          <w:lang w:val="en-US" w:eastAsia="ja-JP"/>
        </w:rPr>
        <w:t xml:space="preserve">depends on </w:t>
      </w:r>
      <w:r w:rsidR="000F68D0">
        <w:rPr>
          <w:rFonts w:eastAsia="MS Mincho"/>
          <w:lang w:val="en-US" w:eastAsia="ja-JP"/>
        </w:rPr>
        <w:t xml:space="preserve">the </w:t>
      </w:r>
      <w:r w:rsidR="00656F79">
        <w:rPr>
          <w:rFonts w:eastAsia="MS Mincho"/>
          <w:lang w:val="en-US" w:eastAsia="ja-JP"/>
        </w:rPr>
        <w:t>selected</w:t>
      </w:r>
      <w:r w:rsidR="006F2654">
        <w:rPr>
          <w:rFonts w:eastAsia="MS Mincho"/>
          <w:lang w:val="en-US" w:eastAsia="ja-JP"/>
        </w:rPr>
        <w:t xml:space="preserve"> frequency hopping scheme and latency requirement, as well as </w:t>
      </w:r>
      <w:r w:rsidR="00656F79">
        <w:rPr>
          <w:rFonts w:eastAsia="MS Mincho"/>
          <w:lang w:val="en-US" w:eastAsia="ja-JP"/>
        </w:rPr>
        <w:t>on the</w:t>
      </w:r>
      <w:r w:rsidR="000F68D0">
        <w:rPr>
          <w:rFonts w:eastAsia="MS Mincho"/>
          <w:lang w:val="en-US" w:eastAsia="ja-JP"/>
        </w:rPr>
        <w:t xml:space="preserve"> design of</w:t>
      </w:r>
      <w:r w:rsidR="00656F79">
        <w:rPr>
          <w:rFonts w:eastAsia="MS Mincho"/>
          <w:lang w:val="en-US" w:eastAsia="ja-JP"/>
        </w:rPr>
        <w:t xml:space="preserve"> PUCCH format</w:t>
      </w:r>
      <w:r w:rsidR="000F68D0">
        <w:rPr>
          <w:rFonts w:eastAsia="MS Mincho"/>
          <w:lang w:val="en-US" w:eastAsia="ja-JP"/>
        </w:rPr>
        <w:t>s</w:t>
      </w:r>
      <w:r w:rsidR="006F2654">
        <w:rPr>
          <w:rFonts w:eastAsia="MS Mincho"/>
          <w:lang w:val="en-US" w:eastAsia="ja-JP"/>
        </w:rPr>
        <w:t>.</w:t>
      </w:r>
      <w:r w:rsidR="000F68D0">
        <w:rPr>
          <w:rFonts w:eastAsia="MS Mincho"/>
          <w:lang w:val="en-US" w:eastAsia="ja-JP"/>
        </w:rPr>
        <w:t xml:space="preserve"> Hence we see that DMRS locations within slot can be agreed only </w:t>
      </w:r>
      <w:r w:rsidR="00BE3492">
        <w:rPr>
          <w:rFonts w:eastAsia="MS Mincho"/>
          <w:lang w:val="en-US" w:eastAsia="ja-JP"/>
        </w:rPr>
        <w:t>after PUCCH design has progressed further.</w:t>
      </w:r>
      <w:r w:rsidR="00461700">
        <w:rPr>
          <w:rFonts w:eastAsia="MS Mincho"/>
          <w:lang w:val="en-US" w:eastAsia="ja-JP"/>
        </w:rPr>
        <w:t xml:space="preserve"> </w:t>
      </w:r>
    </w:p>
    <w:p w14:paraId="4E0656E5" w14:textId="450C365A" w:rsidR="00010E2C" w:rsidRPr="00521425" w:rsidRDefault="00010E2C" w:rsidP="00521425">
      <w:pPr>
        <w:rPr>
          <w:i/>
        </w:rPr>
      </w:pPr>
      <w:r>
        <w:rPr>
          <w:b/>
          <w:i/>
        </w:rPr>
        <w:t xml:space="preserve">Observation </w:t>
      </w:r>
      <w:r w:rsidR="004D2629">
        <w:rPr>
          <w:b/>
          <w:i/>
        </w:rPr>
        <w:t>2</w:t>
      </w:r>
      <w:r>
        <w:rPr>
          <w:b/>
          <w:i/>
        </w:rPr>
        <w:t xml:space="preserve">: </w:t>
      </w:r>
      <w:r>
        <w:rPr>
          <w:i/>
        </w:rPr>
        <w:t>Location of DMRS symbols within slot can be agreed on</w:t>
      </w:r>
      <w:r w:rsidR="006036F4">
        <w:rPr>
          <w:i/>
        </w:rPr>
        <w:t>ly</w:t>
      </w:r>
      <w:r>
        <w:rPr>
          <w:i/>
        </w:rPr>
        <w:t xml:space="preserve"> when long PUCCH design has progressed further.</w:t>
      </w:r>
    </w:p>
    <w:p w14:paraId="0C8D7C3A" w14:textId="74C7EE3C" w:rsidR="009E33D7" w:rsidRDefault="009E33D7" w:rsidP="00521425">
      <w:pPr>
        <w:spacing w:after="120"/>
        <w:jc w:val="both"/>
      </w:pPr>
      <w:r>
        <w:t>Efficient inter-cell randomization is an imp</w:t>
      </w:r>
      <w:r w:rsidR="00A64278">
        <w:t>ortant aspect of PUCCH design. PUCCH</w:t>
      </w:r>
      <w:r>
        <w:t xml:space="preserve"> should provide robust performance under varying interfer</w:t>
      </w:r>
      <w:r w:rsidR="00A64278">
        <w:t xml:space="preserve">ence conditions, as the </w:t>
      </w:r>
      <w:r>
        <w:t>payload (HARQ ACK, scheduling request, CS</w:t>
      </w:r>
      <w:r w:rsidR="00A64278">
        <w:t>I) is latency critical and</w:t>
      </w:r>
      <w:r>
        <w:t xml:space="preserve"> cannot benefit from e.g. HARQ. Correspondingly, it was agreed in RAN1#88</w:t>
      </w:r>
      <w:r w:rsidR="00A64278">
        <w:t xml:space="preserve"> [5] interference randomization should be enabled for long PUCCH</w:t>
      </w:r>
      <w:r>
        <w:t>.</w:t>
      </w:r>
    </w:p>
    <w:p w14:paraId="300F2819" w14:textId="33332D90" w:rsidR="00D16FDD" w:rsidRDefault="00A64278" w:rsidP="00521425">
      <w:pPr>
        <w:jc w:val="both"/>
      </w:pPr>
      <w:r>
        <w:lastRenderedPageBreak/>
        <w:t>LTE supports several mechanisms that are</w:t>
      </w:r>
      <w:r w:rsidR="009E33D7">
        <w:t xml:space="preserve"> used to rand</w:t>
      </w:r>
      <w:r>
        <w:t>omize inter-cell interference. LTE r</w:t>
      </w:r>
      <w:r w:rsidR="009E33D7">
        <w:t>andom</w:t>
      </w:r>
      <w:r>
        <w:t>ization mechanisms</w:t>
      </w:r>
      <w:r w:rsidR="009E33D7">
        <w:t xml:space="preserve"> include data scrambling, sequence hopping, and hopping of the cyclic shift of spreading sequence or data sequence. These are reaso</w:t>
      </w:r>
      <w:r>
        <w:t>nable options also for NR long PUCCH, depending of course on the PUCCH formats defined for long PUCCH</w:t>
      </w:r>
      <w:r w:rsidR="009E33D7">
        <w:t xml:space="preserve">. </w:t>
      </w:r>
    </w:p>
    <w:p w14:paraId="4D67CC52" w14:textId="6ACFC1B2" w:rsidR="00D16FDD" w:rsidRPr="00521425" w:rsidRDefault="00D16FDD" w:rsidP="00521425">
      <w:pPr>
        <w:jc w:val="both"/>
        <w:rPr>
          <w:i/>
        </w:rPr>
      </w:pPr>
      <w:r>
        <w:rPr>
          <w:b/>
          <w:i/>
        </w:rPr>
        <w:t xml:space="preserve">Proposal 6: </w:t>
      </w:r>
      <w:r>
        <w:rPr>
          <w:i/>
        </w:rPr>
        <w:t xml:space="preserve">Support at </w:t>
      </w:r>
      <w:r w:rsidRPr="00394301">
        <w:rPr>
          <w:i/>
        </w:rPr>
        <w:t xml:space="preserve">least </w:t>
      </w:r>
      <w:r w:rsidRPr="00521425">
        <w:rPr>
          <w:i/>
        </w:rPr>
        <w:t xml:space="preserve">data scrambling, sequence hopping, and hopping of sequence cyclic shift </w:t>
      </w:r>
      <w:r w:rsidRPr="00394301">
        <w:rPr>
          <w:i/>
        </w:rPr>
        <w:t>for long PUCCH</w:t>
      </w:r>
      <w:r>
        <w:rPr>
          <w:i/>
        </w:rPr>
        <w:t>.</w:t>
      </w:r>
    </w:p>
    <w:p w14:paraId="2EFBE5C1" w14:textId="29C31D7B" w:rsidR="00D16FDD" w:rsidRDefault="00D16FDD" w:rsidP="00521425">
      <w:pPr>
        <w:spacing w:after="120"/>
        <w:jc w:val="both"/>
      </w:pPr>
      <w:r>
        <w:t>I</w:t>
      </w:r>
      <w:r w:rsidR="009E33D7">
        <w:t xml:space="preserve">t may be only few of the UEs on neighbouring cells that cause significant interference to the detection of </w:t>
      </w:r>
      <w:r>
        <w:t>PUCCH</w:t>
      </w:r>
      <w:r w:rsidR="009E33D7">
        <w:t>. The drawback of the m</w:t>
      </w:r>
      <w:r>
        <w:t>entioned randomization mechanisms</w:t>
      </w:r>
      <w:r w:rsidR="009E33D7">
        <w:t xml:space="preserve"> is that an UE causing significant interference keeps interfering the transmission from the same victim UE throughout the transmission</w:t>
      </w:r>
      <w:r>
        <w:t>. In company contribution [6]</w:t>
      </w:r>
      <w:r w:rsidR="00904414">
        <w:t>, we propose for short PUCCH a</w:t>
      </w:r>
      <w:r w:rsidR="006A1BEB">
        <w:t xml:space="preserve"> </w:t>
      </w:r>
      <w:r w:rsidR="00904414">
        <w:t xml:space="preserve">cell-specific pseudo-random element to </w:t>
      </w:r>
      <w:r w:rsidR="006A1BEB">
        <w:t xml:space="preserve">the </w:t>
      </w:r>
      <w:r w:rsidR="00904414">
        <w:t>frequency hopping, randomizing interference between cells. In principle, same mechanism can be introduced also for long PUCCH. On other hand, random offset on the frequency hop</w:t>
      </w:r>
      <w:r w:rsidR="006A1BEB">
        <w:t>ping</w:t>
      </w:r>
      <w:r w:rsidR="00904414">
        <w:t xml:space="preserve"> may complicate the reuse of vacant PUCCH resources by dynamically scheduled PUSCH. </w:t>
      </w:r>
      <w:r w:rsidR="00394301">
        <w:t>While the associated cost in terms of less efficient RE usage is acceptable for short PUCCH d</w:t>
      </w:r>
      <w:r w:rsidR="00904414">
        <w:t xml:space="preserve">ue to </w:t>
      </w:r>
      <w:r w:rsidR="00394301">
        <w:t xml:space="preserve">its </w:t>
      </w:r>
      <w:r w:rsidR="00904414">
        <w:t>short duration</w:t>
      </w:r>
      <w:r w:rsidR="00394301">
        <w:t>, the cost is larger for long PUCCH. Hence we see that this mechanism requires further considerations for long PUCCH.</w:t>
      </w:r>
    </w:p>
    <w:p w14:paraId="30E029DD" w14:textId="3D4ECFBA" w:rsidR="0034111C" w:rsidRPr="00A51522" w:rsidRDefault="00053588">
      <w:pPr>
        <w:pStyle w:val="Heading1"/>
        <w:rPr>
          <w:color w:val="000000"/>
        </w:rPr>
      </w:pPr>
      <w:r>
        <w:rPr>
          <w:color w:val="000000"/>
        </w:rPr>
        <w:t>5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30E029DE" w14:textId="0CDD5DD9" w:rsidR="00731B79" w:rsidRPr="006A1BEB" w:rsidRDefault="003D3FBA" w:rsidP="00521425">
      <w:pPr>
        <w:spacing w:after="120"/>
        <w:jc w:val="both"/>
        <w:rPr>
          <w:bCs/>
        </w:rPr>
      </w:pPr>
      <w:r w:rsidRPr="00A51522">
        <w:t xml:space="preserve">In this </w:t>
      </w:r>
      <w:r w:rsidR="00986146" w:rsidRPr="00A51522">
        <w:t>contribution,</w:t>
      </w:r>
      <w:r w:rsidRPr="00A51522">
        <w:t xml:space="preserve"> we have discussed </w:t>
      </w:r>
      <w:r w:rsidR="00141E40">
        <w:rPr>
          <w:bCs/>
        </w:rPr>
        <w:t xml:space="preserve">long PUCCH design aspects </w:t>
      </w:r>
      <w:r w:rsidR="00AB0ED5">
        <w:rPr>
          <w:bCs/>
        </w:rPr>
        <w:t>for new radio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</w:t>
      </w:r>
      <w:r w:rsidR="00342AD2" w:rsidRPr="006A1BEB">
        <w:rPr>
          <w:bCs/>
        </w:rPr>
        <w:t>following proposal</w:t>
      </w:r>
      <w:r w:rsidR="006060C2" w:rsidRPr="006A1BEB">
        <w:rPr>
          <w:bCs/>
        </w:rPr>
        <w:t>s</w:t>
      </w:r>
      <w:r w:rsidR="006A1BEB">
        <w:rPr>
          <w:bCs/>
        </w:rPr>
        <w:t xml:space="preserve"> and observations</w:t>
      </w:r>
      <w:r w:rsidR="00342AD2" w:rsidRPr="006A1BEB">
        <w:rPr>
          <w:bCs/>
        </w:rPr>
        <w:t>:</w:t>
      </w:r>
    </w:p>
    <w:p w14:paraId="0E93307D" w14:textId="77777777" w:rsidR="006A1BEB" w:rsidRDefault="006A1BEB" w:rsidP="00521425">
      <w:pPr>
        <w:spacing w:after="120"/>
        <w:rPr>
          <w:b/>
          <w:i/>
        </w:rPr>
      </w:pPr>
      <w:r>
        <w:rPr>
          <w:b/>
          <w:i/>
        </w:rPr>
        <w:t>Proposal 1:</w:t>
      </w:r>
      <w:r>
        <w:rPr>
          <w:i/>
        </w:rPr>
        <w:t xml:space="preserve"> CP-OFDM waveform is supported for long PUCCH.</w:t>
      </w:r>
    </w:p>
    <w:p w14:paraId="3FB7E0FC" w14:textId="77777777" w:rsidR="006A1BEB" w:rsidRDefault="006A1BEB" w:rsidP="00521425">
      <w:pPr>
        <w:spacing w:after="120"/>
        <w:rPr>
          <w:i/>
        </w:rPr>
      </w:pPr>
      <w:r>
        <w:rPr>
          <w:b/>
          <w:i/>
        </w:rPr>
        <w:t>Proposal 2:</w:t>
      </w:r>
      <w:r>
        <w:t xml:space="preserve"> </w:t>
      </w:r>
      <w:r>
        <w:rPr>
          <w:i/>
        </w:rPr>
        <w:t xml:space="preserve">Long PUCCH applies common design for both DFT-S-OFDM and CP-OFDM waveforms. </w:t>
      </w:r>
    </w:p>
    <w:p w14:paraId="0C3EF885" w14:textId="378B134D" w:rsidR="006A1BEB" w:rsidRDefault="006A1BEB" w:rsidP="00521425">
      <w:pPr>
        <w:spacing w:after="120"/>
        <w:rPr>
          <w:i/>
        </w:rPr>
      </w:pPr>
      <w:r>
        <w:rPr>
          <w:b/>
          <w:i/>
        </w:rPr>
        <w:t xml:space="preserve">Proposal 3: </w:t>
      </w:r>
      <w:r>
        <w:rPr>
          <w:i/>
        </w:rPr>
        <w:t>Waveform used for long PUCCH is the same as the waveform configured for PUSCH.</w:t>
      </w:r>
    </w:p>
    <w:p w14:paraId="094EAF97" w14:textId="0A43E774" w:rsidR="006A1BEB" w:rsidRDefault="006A1BEB" w:rsidP="006A1BEB">
      <w:pPr>
        <w:spacing w:after="120"/>
        <w:rPr>
          <w:i/>
        </w:rPr>
      </w:pPr>
      <w:r>
        <w:rPr>
          <w:b/>
          <w:i/>
        </w:rPr>
        <w:t xml:space="preserve">Proposal 4: </w:t>
      </w:r>
      <w:r>
        <w:rPr>
          <w:i/>
        </w:rPr>
        <w:t>Two frequency domain clusters for long PUCCH are configured via higher layer signalling.</w:t>
      </w:r>
    </w:p>
    <w:p w14:paraId="6D7053E0" w14:textId="760B7F11" w:rsidR="006A1BEB" w:rsidRDefault="006A1BEB" w:rsidP="00521425">
      <w:pPr>
        <w:spacing w:after="120"/>
        <w:rPr>
          <w:i/>
        </w:rPr>
      </w:pPr>
      <w:r>
        <w:rPr>
          <w:b/>
          <w:i/>
        </w:rPr>
        <w:t xml:space="preserve">Proposal 5: </w:t>
      </w:r>
      <w:r>
        <w:rPr>
          <w:i/>
        </w:rPr>
        <w:t>Consider both “half-slot” based and symbol based frequency hopping for long PUCCH.</w:t>
      </w:r>
    </w:p>
    <w:p w14:paraId="3216AEEE" w14:textId="77777777" w:rsidR="006A1BEB" w:rsidRDefault="006A1BEB" w:rsidP="00521425">
      <w:pPr>
        <w:spacing w:after="120"/>
        <w:rPr>
          <w:i/>
        </w:rPr>
      </w:pPr>
    </w:p>
    <w:p w14:paraId="247EC02A" w14:textId="77777777" w:rsidR="006A1BEB" w:rsidRPr="00EE1695" w:rsidRDefault="006A1BEB" w:rsidP="00521425">
      <w:pPr>
        <w:spacing w:after="120"/>
        <w:rPr>
          <w:i/>
        </w:rPr>
      </w:pPr>
      <w:r>
        <w:rPr>
          <w:b/>
          <w:i/>
        </w:rPr>
        <w:t xml:space="preserve">Observation 1: </w:t>
      </w:r>
      <w:r w:rsidRPr="00EE1695">
        <w:rPr>
          <w:i/>
        </w:rPr>
        <w:t>Long PUCCH format for large UCI payload</w:t>
      </w:r>
      <w:r>
        <w:rPr>
          <w:i/>
        </w:rPr>
        <w:t>s</w:t>
      </w:r>
      <w:r w:rsidRPr="00EE1695">
        <w:rPr>
          <w:i/>
        </w:rPr>
        <w:t xml:space="preserve"> can have essentially </w:t>
      </w:r>
      <w:r>
        <w:rPr>
          <w:i/>
        </w:rPr>
        <w:t>similar</w:t>
      </w:r>
      <w:r w:rsidRPr="00EE1695">
        <w:rPr>
          <w:i/>
        </w:rPr>
        <w:t xml:space="preserve"> structure as PUSCH, and i</w:t>
      </w:r>
      <w:r w:rsidRPr="004D2629">
        <w:rPr>
          <w:i/>
        </w:rPr>
        <w:t>t is attractive to apply same waveform for both transmissions.</w:t>
      </w:r>
    </w:p>
    <w:p w14:paraId="3A673591" w14:textId="557413DF" w:rsidR="006A1BEB" w:rsidRDefault="006A1BEB" w:rsidP="00521425">
      <w:pPr>
        <w:spacing w:after="120"/>
        <w:rPr>
          <w:i/>
        </w:rPr>
      </w:pPr>
      <w:r>
        <w:rPr>
          <w:b/>
          <w:i/>
        </w:rPr>
        <w:t xml:space="preserve">Observation 2: </w:t>
      </w:r>
      <w:r>
        <w:rPr>
          <w:i/>
        </w:rPr>
        <w:t>Location of DMRS symbols within slot can be agreed only when long PUCCH design has progressed further.</w:t>
      </w:r>
    </w:p>
    <w:p w14:paraId="30E029F2" w14:textId="4D471BBC" w:rsidR="0034111C" w:rsidRPr="00521425" w:rsidRDefault="0034111C">
      <w:pPr>
        <w:pStyle w:val="Heading1"/>
      </w:pPr>
      <w:r w:rsidRPr="00521425">
        <w:t>References</w:t>
      </w:r>
      <w:r w:rsidR="00A2459D" w:rsidRPr="00521425">
        <w:t xml:space="preserve"> </w:t>
      </w:r>
    </w:p>
    <w:p w14:paraId="1C290925" w14:textId="4132B8D5" w:rsidR="006B564D" w:rsidRPr="00521425" w:rsidRDefault="006B564D" w:rsidP="006B564D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22"/>
        </w:rPr>
      </w:pPr>
      <w:bookmarkStart w:id="1" w:name="_Ref377468317"/>
      <w:r w:rsidRPr="00521425">
        <w:rPr>
          <w:sz w:val="20"/>
          <w:szCs w:val="22"/>
        </w:rPr>
        <w:t xml:space="preserve">RP-170847, “New WID on New Radio Access Technology”, NTT DOCOMO </w:t>
      </w:r>
    </w:p>
    <w:p w14:paraId="44EA3FA8" w14:textId="7E51323F" w:rsidR="006B564D" w:rsidRPr="00521425" w:rsidRDefault="006B564D" w:rsidP="00BD3846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22"/>
        </w:rPr>
      </w:pPr>
      <w:r w:rsidRPr="00521425">
        <w:rPr>
          <w:sz w:val="20"/>
          <w:szCs w:val="22"/>
        </w:rPr>
        <w:t>3GPP Technical Report 38.913, “</w:t>
      </w:r>
      <w:r w:rsidRPr="00521425">
        <w:rPr>
          <w:sz w:val="20"/>
          <w:szCs w:val="22"/>
          <w:lang w:eastAsia="zh-CN"/>
        </w:rPr>
        <w:t>Study on Scenarios and Requirements for Next Generation Access Technologies</w:t>
      </w:r>
      <w:r w:rsidRPr="00521425">
        <w:rPr>
          <w:sz w:val="20"/>
          <w:szCs w:val="22"/>
        </w:rPr>
        <w:t>”, March 2016.</w:t>
      </w:r>
      <w:bookmarkEnd w:id="1"/>
    </w:p>
    <w:p w14:paraId="6998DD21" w14:textId="39007F9F" w:rsidR="006B564D" w:rsidRPr="00521425" w:rsidRDefault="006B564D" w:rsidP="006B564D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22"/>
        </w:rPr>
      </w:pPr>
      <w:r w:rsidRPr="00521425">
        <w:rPr>
          <w:sz w:val="20"/>
          <w:szCs w:val="22"/>
        </w:rPr>
        <w:t>3GPP Technical Report 38.302, “Study on New Radio (NR) Access Technology; Physical Layer Aspects”, March 2017</w:t>
      </w:r>
    </w:p>
    <w:p w14:paraId="48EF79C1" w14:textId="6CC9F5C4" w:rsidR="006B564D" w:rsidRPr="00521425" w:rsidRDefault="00482700" w:rsidP="006B564D">
      <w:pPr>
        <w:numPr>
          <w:ilvl w:val="0"/>
          <w:numId w:val="1"/>
        </w:numPr>
        <w:rPr>
          <w:szCs w:val="22"/>
        </w:rPr>
      </w:pPr>
      <w:r>
        <w:rPr>
          <w:szCs w:val="22"/>
        </w:rPr>
        <w:t>R1-1705235</w:t>
      </w:r>
      <w:r w:rsidR="006B564D" w:rsidRPr="00521425">
        <w:rPr>
          <w:szCs w:val="22"/>
        </w:rPr>
        <w:t>, “</w:t>
      </w:r>
      <w:r>
        <w:rPr>
          <w:i/>
          <w:szCs w:val="22"/>
        </w:rPr>
        <w:t>L</w:t>
      </w:r>
      <w:r w:rsidR="006B564D" w:rsidRPr="00521425">
        <w:rPr>
          <w:i/>
          <w:szCs w:val="22"/>
        </w:rPr>
        <w:t>ong PUCCH formats for NR</w:t>
      </w:r>
      <w:r w:rsidR="006B564D" w:rsidRPr="00521425">
        <w:rPr>
          <w:szCs w:val="22"/>
        </w:rPr>
        <w:t>”, Nokia, Alcatel-Lucent Shanghai Bell</w:t>
      </w:r>
    </w:p>
    <w:p w14:paraId="634822DC" w14:textId="0736AE87" w:rsidR="00A64278" w:rsidRPr="00521425" w:rsidRDefault="00A64278" w:rsidP="00A64278">
      <w:pPr>
        <w:numPr>
          <w:ilvl w:val="0"/>
          <w:numId w:val="1"/>
        </w:numPr>
        <w:rPr>
          <w:szCs w:val="22"/>
        </w:rPr>
      </w:pPr>
      <w:r w:rsidRPr="00521425">
        <w:rPr>
          <w:szCs w:val="22"/>
        </w:rPr>
        <w:t>RAN1 Chairman’s Notes, 3GPP TSG RAN WG1 Meeting #88, 3GPP</w:t>
      </w:r>
    </w:p>
    <w:p w14:paraId="57D22485" w14:textId="43C62192" w:rsidR="00C17DF9" w:rsidRPr="00521425" w:rsidRDefault="00482700" w:rsidP="00A64278">
      <w:pPr>
        <w:numPr>
          <w:ilvl w:val="0"/>
          <w:numId w:val="1"/>
        </w:numPr>
        <w:rPr>
          <w:szCs w:val="22"/>
        </w:rPr>
      </w:pPr>
      <w:r>
        <w:rPr>
          <w:szCs w:val="22"/>
        </w:rPr>
        <w:t>R1-1705232</w:t>
      </w:r>
      <w:r w:rsidR="00C17DF9" w:rsidRPr="00521425">
        <w:rPr>
          <w:szCs w:val="22"/>
        </w:rPr>
        <w:t>, “</w:t>
      </w:r>
      <w:r w:rsidR="00C17DF9" w:rsidRPr="00521425">
        <w:rPr>
          <w:i/>
          <w:szCs w:val="22"/>
        </w:rPr>
        <w:t>On the design of short PUCCH for NR</w:t>
      </w:r>
      <w:r w:rsidR="00C17DF9" w:rsidRPr="00521425">
        <w:rPr>
          <w:szCs w:val="22"/>
        </w:rPr>
        <w:t>”, Nokia, Alcatel-Lucent Shanghai Bell</w:t>
      </w:r>
    </w:p>
    <w:p w14:paraId="30E029FB" w14:textId="77777777" w:rsidR="00142DE2" w:rsidRPr="008D4B8A" w:rsidRDefault="00142DE2" w:rsidP="008B2436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48596" w14:textId="77777777" w:rsidR="00D040B7" w:rsidRDefault="00D040B7">
      <w:r>
        <w:separator/>
      </w:r>
    </w:p>
  </w:endnote>
  <w:endnote w:type="continuationSeparator" w:id="0">
    <w:p w14:paraId="11B51D0A" w14:textId="77777777" w:rsidR="00D040B7" w:rsidRDefault="00D04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61F02" w14:textId="77777777" w:rsidR="00D040B7" w:rsidRDefault="00D040B7">
      <w:r>
        <w:separator/>
      </w:r>
    </w:p>
  </w:footnote>
  <w:footnote w:type="continuationSeparator" w:id="0">
    <w:p w14:paraId="02CA5A85" w14:textId="77777777" w:rsidR="00D040B7" w:rsidRDefault="00D04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545BE6"/>
    <w:multiLevelType w:val="hybridMultilevel"/>
    <w:tmpl w:val="B0D6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617A3"/>
    <w:multiLevelType w:val="hybridMultilevel"/>
    <w:tmpl w:val="F04058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8A5FDE"/>
    <w:multiLevelType w:val="hybridMultilevel"/>
    <w:tmpl w:val="16621066"/>
    <w:lvl w:ilvl="0" w:tplc="7A7EB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249A3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F76A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1A3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AE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FE2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328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487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1ED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25A5E62"/>
    <w:multiLevelType w:val="hybridMultilevel"/>
    <w:tmpl w:val="59FEE43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8" w15:restartNumberingAfterBreak="0">
    <w:nsid w:val="69F52AC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53BA"/>
    <w:rsid w:val="00006055"/>
    <w:rsid w:val="00006AD4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30CF"/>
    <w:rsid w:val="000C501D"/>
    <w:rsid w:val="000C5CB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76BC"/>
    <w:rsid w:val="000E071E"/>
    <w:rsid w:val="000E0DEE"/>
    <w:rsid w:val="000E181D"/>
    <w:rsid w:val="000E27AA"/>
    <w:rsid w:val="000E337A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644A"/>
    <w:rsid w:val="00117332"/>
    <w:rsid w:val="0011784B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0F3"/>
    <w:rsid w:val="001362C2"/>
    <w:rsid w:val="0013678C"/>
    <w:rsid w:val="00136955"/>
    <w:rsid w:val="00136E19"/>
    <w:rsid w:val="001371B2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6ABA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30C9"/>
    <w:rsid w:val="001D445B"/>
    <w:rsid w:val="001D46A0"/>
    <w:rsid w:val="001D50C2"/>
    <w:rsid w:val="001D7CA4"/>
    <w:rsid w:val="001D7E58"/>
    <w:rsid w:val="001E30A0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3BD"/>
    <w:rsid w:val="001F34DA"/>
    <w:rsid w:val="001F4DAC"/>
    <w:rsid w:val="001F5019"/>
    <w:rsid w:val="001F51C5"/>
    <w:rsid w:val="001F67AA"/>
    <w:rsid w:val="001F7599"/>
    <w:rsid w:val="00204B22"/>
    <w:rsid w:val="00204B3A"/>
    <w:rsid w:val="0020535A"/>
    <w:rsid w:val="002055CB"/>
    <w:rsid w:val="00206955"/>
    <w:rsid w:val="00210309"/>
    <w:rsid w:val="0021224B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0342"/>
    <w:rsid w:val="00241311"/>
    <w:rsid w:val="002418E8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661"/>
    <w:rsid w:val="00262D9D"/>
    <w:rsid w:val="002632DF"/>
    <w:rsid w:val="00263946"/>
    <w:rsid w:val="002640BA"/>
    <w:rsid w:val="00264CF2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3BBD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51D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476C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5C3D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2491"/>
    <w:rsid w:val="00393E44"/>
    <w:rsid w:val="00394301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87B"/>
    <w:rsid w:val="003C0DA2"/>
    <w:rsid w:val="003C1A18"/>
    <w:rsid w:val="003C5C41"/>
    <w:rsid w:val="003C6877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54B0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6F8B"/>
    <w:rsid w:val="003F75ED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5D2C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1700"/>
    <w:rsid w:val="00461AAC"/>
    <w:rsid w:val="00462490"/>
    <w:rsid w:val="00465299"/>
    <w:rsid w:val="00466A0F"/>
    <w:rsid w:val="0046795B"/>
    <w:rsid w:val="004708C0"/>
    <w:rsid w:val="0047115F"/>
    <w:rsid w:val="004715CB"/>
    <w:rsid w:val="00471863"/>
    <w:rsid w:val="00473A14"/>
    <w:rsid w:val="004745A9"/>
    <w:rsid w:val="00474871"/>
    <w:rsid w:val="00474CA8"/>
    <w:rsid w:val="00474E43"/>
    <w:rsid w:val="00476A55"/>
    <w:rsid w:val="0048076D"/>
    <w:rsid w:val="00481624"/>
    <w:rsid w:val="00481765"/>
    <w:rsid w:val="00481D90"/>
    <w:rsid w:val="00482700"/>
    <w:rsid w:val="00482CD4"/>
    <w:rsid w:val="00483261"/>
    <w:rsid w:val="0048328A"/>
    <w:rsid w:val="00485B23"/>
    <w:rsid w:val="004874E4"/>
    <w:rsid w:val="0049070D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38C2"/>
    <w:rsid w:val="004D41DC"/>
    <w:rsid w:val="004D4FBD"/>
    <w:rsid w:val="004D4FC0"/>
    <w:rsid w:val="004D6381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318B"/>
    <w:rsid w:val="00504311"/>
    <w:rsid w:val="0050485C"/>
    <w:rsid w:val="00504AC6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1425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6698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4E4B"/>
    <w:rsid w:val="0055519C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CA8"/>
    <w:rsid w:val="00577835"/>
    <w:rsid w:val="00580793"/>
    <w:rsid w:val="00581470"/>
    <w:rsid w:val="00581B62"/>
    <w:rsid w:val="00581BAD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386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5870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6F4"/>
    <w:rsid w:val="00604367"/>
    <w:rsid w:val="006044BE"/>
    <w:rsid w:val="0060475F"/>
    <w:rsid w:val="00604DE1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43C"/>
    <w:rsid w:val="00651854"/>
    <w:rsid w:val="00652578"/>
    <w:rsid w:val="006539E8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859DB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1BEB"/>
    <w:rsid w:val="006A41AE"/>
    <w:rsid w:val="006A4856"/>
    <w:rsid w:val="006A564B"/>
    <w:rsid w:val="006B1545"/>
    <w:rsid w:val="006B23B9"/>
    <w:rsid w:val="006B2DA7"/>
    <w:rsid w:val="006B2F4D"/>
    <w:rsid w:val="006B3682"/>
    <w:rsid w:val="006B48CB"/>
    <w:rsid w:val="006B564D"/>
    <w:rsid w:val="006C1445"/>
    <w:rsid w:val="006C3AB0"/>
    <w:rsid w:val="006C4FC1"/>
    <w:rsid w:val="006C51A5"/>
    <w:rsid w:val="006C529D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2654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2D5A"/>
    <w:rsid w:val="00702EF7"/>
    <w:rsid w:val="00703571"/>
    <w:rsid w:val="00703989"/>
    <w:rsid w:val="007042E9"/>
    <w:rsid w:val="0071118B"/>
    <w:rsid w:val="00711C66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3BB5"/>
    <w:rsid w:val="00756832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44FC"/>
    <w:rsid w:val="007E5AC2"/>
    <w:rsid w:val="007E79C5"/>
    <w:rsid w:val="007F2845"/>
    <w:rsid w:val="007F43BC"/>
    <w:rsid w:val="007F4740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4E11"/>
    <w:rsid w:val="008A6D62"/>
    <w:rsid w:val="008B13E9"/>
    <w:rsid w:val="008B2436"/>
    <w:rsid w:val="008B3B51"/>
    <w:rsid w:val="008B4057"/>
    <w:rsid w:val="008B4145"/>
    <w:rsid w:val="008B5071"/>
    <w:rsid w:val="008B5290"/>
    <w:rsid w:val="008C2CFD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47C6"/>
    <w:rsid w:val="008F700E"/>
    <w:rsid w:val="009006A2"/>
    <w:rsid w:val="0090102B"/>
    <w:rsid w:val="00901448"/>
    <w:rsid w:val="009036BC"/>
    <w:rsid w:val="00903D30"/>
    <w:rsid w:val="00904414"/>
    <w:rsid w:val="00905C47"/>
    <w:rsid w:val="00906379"/>
    <w:rsid w:val="00906A8C"/>
    <w:rsid w:val="009101EA"/>
    <w:rsid w:val="009106FC"/>
    <w:rsid w:val="009118BB"/>
    <w:rsid w:val="0091191F"/>
    <w:rsid w:val="009120A9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3C90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EA8"/>
    <w:rsid w:val="009D2F0C"/>
    <w:rsid w:val="009D3578"/>
    <w:rsid w:val="009D3A5F"/>
    <w:rsid w:val="009D5193"/>
    <w:rsid w:val="009D5C32"/>
    <w:rsid w:val="009D6472"/>
    <w:rsid w:val="009D79F4"/>
    <w:rsid w:val="009E33D7"/>
    <w:rsid w:val="009E3CD1"/>
    <w:rsid w:val="009E5AF5"/>
    <w:rsid w:val="009E5EB5"/>
    <w:rsid w:val="009E74F0"/>
    <w:rsid w:val="009F0768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1535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38BD"/>
    <w:rsid w:val="00A243E4"/>
    <w:rsid w:val="00A2459D"/>
    <w:rsid w:val="00A24E23"/>
    <w:rsid w:val="00A2566C"/>
    <w:rsid w:val="00A25F05"/>
    <w:rsid w:val="00A30B2D"/>
    <w:rsid w:val="00A311AE"/>
    <w:rsid w:val="00A312A6"/>
    <w:rsid w:val="00A3130E"/>
    <w:rsid w:val="00A3193B"/>
    <w:rsid w:val="00A324CF"/>
    <w:rsid w:val="00A32E8B"/>
    <w:rsid w:val="00A32ED6"/>
    <w:rsid w:val="00A344A5"/>
    <w:rsid w:val="00A346C3"/>
    <w:rsid w:val="00A34D4A"/>
    <w:rsid w:val="00A36155"/>
    <w:rsid w:val="00A42A85"/>
    <w:rsid w:val="00A42D07"/>
    <w:rsid w:val="00A4503E"/>
    <w:rsid w:val="00A450C0"/>
    <w:rsid w:val="00A45468"/>
    <w:rsid w:val="00A4791B"/>
    <w:rsid w:val="00A50A48"/>
    <w:rsid w:val="00A51180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4278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09D"/>
    <w:rsid w:val="00A86EA7"/>
    <w:rsid w:val="00A91244"/>
    <w:rsid w:val="00A92776"/>
    <w:rsid w:val="00A93181"/>
    <w:rsid w:val="00A938E6"/>
    <w:rsid w:val="00A93CCF"/>
    <w:rsid w:val="00A95BD5"/>
    <w:rsid w:val="00A95C53"/>
    <w:rsid w:val="00A96F78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C7D98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5439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B94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3E1B"/>
    <w:rsid w:val="00B845D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7CA3"/>
    <w:rsid w:val="00BA2BC9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846"/>
    <w:rsid w:val="00BD3E68"/>
    <w:rsid w:val="00BD598A"/>
    <w:rsid w:val="00BD5C7A"/>
    <w:rsid w:val="00BD75B4"/>
    <w:rsid w:val="00BD7D14"/>
    <w:rsid w:val="00BE02B4"/>
    <w:rsid w:val="00BE3492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2E39"/>
    <w:rsid w:val="00C14164"/>
    <w:rsid w:val="00C15D8E"/>
    <w:rsid w:val="00C17012"/>
    <w:rsid w:val="00C178FB"/>
    <w:rsid w:val="00C17DF9"/>
    <w:rsid w:val="00C20ACC"/>
    <w:rsid w:val="00C22B28"/>
    <w:rsid w:val="00C257B7"/>
    <w:rsid w:val="00C272E8"/>
    <w:rsid w:val="00C31FAA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2FEE"/>
    <w:rsid w:val="00C84D39"/>
    <w:rsid w:val="00C85277"/>
    <w:rsid w:val="00C85D76"/>
    <w:rsid w:val="00C873AC"/>
    <w:rsid w:val="00C87DA6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4487"/>
    <w:rsid w:val="00D15E7E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2798"/>
    <w:rsid w:val="00D82BF2"/>
    <w:rsid w:val="00D84A57"/>
    <w:rsid w:val="00D874DF"/>
    <w:rsid w:val="00D87A12"/>
    <w:rsid w:val="00D930E1"/>
    <w:rsid w:val="00D9415C"/>
    <w:rsid w:val="00D942CC"/>
    <w:rsid w:val="00D94D87"/>
    <w:rsid w:val="00D95B31"/>
    <w:rsid w:val="00D95DCC"/>
    <w:rsid w:val="00D962DC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18A"/>
    <w:rsid w:val="00DC3A9D"/>
    <w:rsid w:val="00DC6C1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46B9"/>
    <w:rsid w:val="00E26727"/>
    <w:rsid w:val="00E26970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5C77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46A6"/>
    <w:rsid w:val="00E947E4"/>
    <w:rsid w:val="00E9480A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2B18"/>
    <w:rsid w:val="00EB584C"/>
    <w:rsid w:val="00EB5863"/>
    <w:rsid w:val="00EB5D88"/>
    <w:rsid w:val="00EB7307"/>
    <w:rsid w:val="00EC14B0"/>
    <w:rsid w:val="00EC204E"/>
    <w:rsid w:val="00EC249E"/>
    <w:rsid w:val="00EC2CFF"/>
    <w:rsid w:val="00EC2DFB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CD1"/>
    <w:rsid w:val="00F01E6B"/>
    <w:rsid w:val="00F0241C"/>
    <w:rsid w:val="00F031EE"/>
    <w:rsid w:val="00F05759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66CFB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2379"/>
    <w:rsid w:val="00FB4B8A"/>
    <w:rsid w:val="00FB5152"/>
    <w:rsid w:val="00FB680E"/>
    <w:rsid w:val="00FB7A0B"/>
    <w:rsid w:val="00FC0065"/>
    <w:rsid w:val="00FC062F"/>
    <w:rsid w:val="00FC3AEE"/>
    <w:rsid w:val="00FC6238"/>
    <w:rsid w:val="00FC7951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D82798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a37866addb7679a968cb371bd55401c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58bf176a16ea72ac83644fd078f4e8eb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SP-5AIRPNAIUNRU-1830940522-509</_dlc_DocId>
    <_dlc_DocIdUrl xmlns="71c5aaf6-e6ce-465b-b873-5148d2a4c105">
      <Url>https://nokia.sharepoint.com/sites/c5g/5gradio/_layouts/15/DocIdRedir.aspx?ID=SP-5AIRPNAIUNRU-1830940522-509</Url>
      <Description>SP-5AIRPNAIUNRU-1830940522-509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1A056-77E4-48EE-A36D-B2DB57A2B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8DE9FF7-4F6F-43B6-BD48-DF0FEC2A3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3</Pages>
  <Words>1024</Words>
  <Characters>8298</Characters>
  <Application>Microsoft Office Word</Application>
  <DocSecurity>0</DocSecurity>
  <Lines>69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Hooli, Kari </cp:lastModifiedBy>
  <cp:revision>5</cp:revision>
  <cp:lastPrinted>2016-06-20T11:35:00Z</cp:lastPrinted>
  <dcterms:created xsi:type="dcterms:W3CDTF">2017-03-24T14:05:00Z</dcterms:created>
  <dcterms:modified xsi:type="dcterms:W3CDTF">2017-03-24T14:19:00Z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522de0b5-9f55-4140-b29e-5e074ead9b29</vt:lpwstr>
  </property>
</Properties>
</file>